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0" w:firstLineChars="0"/>
        <w:rPr>
          <w:rFonts w:hint="eastAsia" w:eastAsia="方正黑体_GBK"/>
          <w:sz w:val="32"/>
          <w:szCs w:val="32"/>
          <w:lang w:val="en-US"/>
        </w:rPr>
      </w:pPr>
      <w:r>
        <w:rPr>
          <w:rFonts w:hint="eastAsia" w:ascii="方正黑体_GBK" w:eastAsia="方正黑体_GBK"/>
          <w:sz w:val="32"/>
          <w:szCs w:val="32"/>
        </w:rPr>
        <w:t>附件</w:t>
      </w:r>
      <w:r>
        <w:rPr>
          <w:rFonts w:hint="eastAsia" w:eastAsia="方正黑体_GBK"/>
          <w:sz w:val="32"/>
          <w:szCs w:val="32"/>
          <w:lang w:val="en-US" w:eastAsia="zh-CN"/>
        </w:rPr>
        <w:t>2</w:t>
      </w:r>
      <w:bookmarkStart w:id="0" w:name="_GoBack"/>
      <w:bookmarkEnd w:id="0"/>
    </w:p>
    <w:p>
      <w:pPr>
        <w:snapToGrid w:val="0"/>
        <w:ind w:firstLine="0" w:firstLineChars="0"/>
        <w:jc w:val="center"/>
        <w:rPr>
          <w:rFonts w:hint="eastAsia" w:ascii="方正小标宋_GBK" w:eastAsia="方正小标宋_GBK"/>
          <w:sz w:val="40"/>
          <w:szCs w:val="40"/>
        </w:rPr>
      </w:pPr>
      <w:r>
        <w:rPr>
          <w:rFonts w:hint="eastAsia" w:ascii="方正小标宋_GBK" w:eastAsia="方正小标宋_GBK"/>
          <w:sz w:val="40"/>
          <w:szCs w:val="40"/>
        </w:rPr>
        <w:t>20</w:t>
      </w:r>
      <w:r>
        <w:rPr>
          <w:rFonts w:hint="eastAsia" w:ascii="方正小标宋_GBK" w:eastAsia="方正小标宋_GBK"/>
          <w:sz w:val="40"/>
          <w:szCs w:val="40"/>
          <w:lang w:val="en-US" w:eastAsia="zh-CN"/>
        </w:rPr>
        <w:t>22</w:t>
      </w:r>
      <w:r>
        <w:rPr>
          <w:rFonts w:hint="eastAsia" w:ascii="方正小标宋_GBK" w:eastAsia="方正小标宋_GBK"/>
          <w:sz w:val="40"/>
          <w:szCs w:val="40"/>
        </w:rPr>
        <w:t>年</w:t>
      </w:r>
      <w:r>
        <w:rPr>
          <w:rFonts w:hint="eastAsia" w:ascii="方正小标宋_GBK" w:eastAsia="方正小标宋_GBK"/>
          <w:sz w:val="40"/>
          <w:szCs w:val="40"/>
          <w:lang w:eastAsia="zh-CN"/>
        </w:rPr>
        <w:t>城市燃气管道等老化更新改造中央基建投资预算</w:t>
      </w:r>
      <w:r>
        <w:rPr>
          <w:rFonts w:hint="eastAsia" w:ascii="方正小标宋_GBK" w:eastAsia="方正小标宋_GBK"/>
          <w:sz w:val="40"/>
          <w:szCs w:val="40"/>
        </w:rPr>
        <w:t>绩效目标表</w:t>
      </w:r>
    </w:p>
    <w:p>
      <w:pPr>
        <w:snapToGrid w:val="0"/>
        <w:ind w:firstLine="0" w:firstLineChars="0"/>
        <w:jc w:val="center"/>
        <w:rPr>
          <w:rFonts w:hint="eastAsia" w:ascii="方正小标宋_GBK" w:eastAsia="方正小标宋_GBK"/>
          <w:sz w:val="36"/>
          <w:szCs w:val="36"/>
          <w:lang w:eastAsia="zh-CN"/>
        </w:rPr>
      </w:pPr>
      <w:r>
        <w:rPr>
          <w:rFonts w:hint="eastAsia" w:ascii="方正小标宋_GBK" w:eastAsia="方正小标宋_GBK"/>
          <w:sz w:val="36"/>
          <w:szCs w:val="36"/>
          <w:lang w:eastAsia="zh-CN"/>
        </w:rPr>
        <w:t>（</w:t>
      </w:r>
      <w:r>
        <w:rPr>
          <w:rFonts w:hint="eastAsia" w:ascii="方正小标宋_GBK" w:eastAsia="方正小标宋_GBK"/>
          <w:b w:val="0"/>
          <w:bCs w:val="0"/>
          <w:sz w:val="32"/>
          <w:szCs w:val="32"/>
          <w:lang w:val="en-US" w:eastAsia="zh-CN"/>
        </w:rPr>
        <w:t>2022年度</w:t>
      </w:r>
      <w:r>
        <w:rPr>
          <w:rFonts w:hint="eastAsia" w:ascii="方正小标宋_GBK" w:eastAsia="方正小标宋_GBK"/>
          <w:sz w:val="36"/>
          <w:szCs w:val="36"/>
          <w:lang w:eastAsia="zh-CN"/>
        </w:rPr>
        <w:t>）</w:t>
      </w:r>
    </w:p>
    <w:tbl>
      <w:tblPr>
        <w:tblStyle w:val="4"/>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1726"/>
        <w:gridCol w:w="629"/>
        <w:gridCol w:w="625"/>
        <w:gridCol w:w="2660"/>
        <w:gridCol w:w="2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lang w:eastAsia="zh-CN"/>
              </w:rPr>
              <w:t>项目</w:t>
            </w:r>
            <w:r>
              <w:rPr>
                <w:color w:val="000000"/>
                <w:kern w:val="0"/>
                <w:sz w:val="21"/>
                <w:szCs w:val="21"/>
              </w:rPr>
              <w:t>名称</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梅州市梅江区、梅县区城区管道天然气用户设施改造项目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下达地方或单位</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梅州市发展改革局、住房城乡建设局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本次下达中央预算内投资（万元）</w:t>
            </w:r>
          </w:p>
        </w:tc>
        <w:tc>
          <w:tcPr>
            <w:tcW w:w="557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default" w:eastAsia="方正仿宋_GBK"/>
                <w:color w:val="000000"/>
                <w:kern w:val="0"/>
                <w:sz w:val="21"/>
                <w:szCs w:val="21"/>
                <w:lang w:val="en-US" w:eastAsia="zh-CN"/>
              </w:rPr>
            </w:pPr>
            <w:r>
              <w:rPr>
                <w:rFonts w:hint="eastAsia"/>
                <w:color w:val="000000"/>
                <w:kern w:val="0"/>
                <w:sz w:val="21"/>
                <w:szCs w:val="21"/>
                <w:lang w:val="en-US" w:eastAsia="zh-CN"/>
              </w:rPr>
              <w:t>1079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2" w:hRule="atLeast"/>
        </w:trPr>
        <w:tc>
          <w:tcPr>
            <w:tcW w:w="959" w:type="dxa"/>
            <w:tcBorders>
              <w:top w:val="nil"/>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总</w:t>
            </w:r>
            <w:r>
              <w:rPr>
                <w:color w:val="000000"/>
                <w:kern w:val="0"/>
                <w:sz w:val="21"/>
                <w:szCs w:val="21"/>
              </w:rPr>
              <w:br w:type="textWrapping"/>
            </w:r>
            <w:r>
              <w:rPr>
                <w:color w:val="000000"/>
                <w:kern w:val="0"/>
                <w:sz w:val="21"/>
                <w:szCs w:val="21"/>
              </w:rPr>
              <w:t>体</w:t>
            </w:r>
            <w:r>
              <w:rPr>
                <w:color w:val="000000"/>
                <w:kern w:val="0"/>
                <w:sz w:val="21"/>
                <w:szCs w:val="21"/>
              </w:rPr>
              <w:br w:type="textWrapping"/>
            </w:r>
            <w:r>
              <w:rPr>
                <w:color w:val="000000"/>
                <w:kern w:val="0"/>
                <w:sz w:val="21"/>
                <w:szCs w:val="21"/>
              </w:rPr>
              <w:t>目</w:t>
            </w:r>
            <w:r>
              <w:rPr>
                <w:color w:val="000000"/>
                <w:kern w:val="0"/>
                <w:sz w:val="21"/>
                <w:szCs w:val="21"/>
              </w:rPr>
              <w:br w:type="textWrapping"/>
            </w:r>
            <w:r>
              <w:rPr>
                <w:color w:val="000000"/>
                <w:kern w:val="0"/>
                <w:sz w:val="21"/>
                <w:szCs w:val="21"/>
              </w:rPr>
              <w:t>标</w:t>
            </w:r>
          </w:p>
        </w:tc>
        <w:tc>
          <w:tcPr>
            <w:tcW w:w="7931" w:type="dxa"/>
            <w:gridSpan w:val="5"/>
            <w:tcBorders>
              <w:top w:val="single" w:color="auto" w:sz="4" w:space="0"/>
              <w:left w:val="nil"/>
              <w:bottom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val="en-US" w:eastAsia="zh-CN"/>
              </w:rPr>
              <w:t xml:space="preserve">    </w:t>
            </w:r>
            <w:r>
              <w:rPr>
                <w:rFonts w:hint="eastAsia"/>
                <w:color w:val="000000"/>
                <w:kern w:val="0"/>
                <w:sz w:val="21"/>
                <w:szCs w:val="21"/>
                <w:lang w:eastAsia="zh-CN"/>
              </w:rPr>
              <w:t>按照《城市燃气管道等老化更新改造和保障性安居工程中央预算内投资专项管理暂行办法》有关</w:t>
            </w:r>
            <w:r>
              <w:rPr>
                <w:rFonts w:hint="eastAsia"/>
                <w:color w:val="000000"/>
                <w:kern w:val="0"/>
                <w:sz w:val="21"/>
                <w:szCs w:val="21"/>
                <w:lang w:val="en-US" w:eastAsia="zh-CN"/>
              </w:rPr>
              <w:t>规定，将</w:t>
            </w:r>
            <w:r>
              <w:rPr>
                <w:rFonts w:hint="eastAsia"/>
                <w:color w:val="000000"/>
                <w:kern w:val="0"/>
                <w:sz w:val="21"/>
                <w:szCs w:val="21"/>
                <w:lang w:eastAsia="zh-CN"/>
              </w:rPr>
              <w:t>城市燃气管道等老化更新改造专项中央预算内投资计划尽快分解下达</w:t>
            </w:r>
            <w:r>
              <w:rPr>
                <w:rFonts w:hint="eastAsia"/>
                <w:color w:val="000000"/>
                <w:kern w:val="0"/>
                <w:sz w:val="21"/>
                <w:szCs w:val="21"/>
                <w:lang w:val="en-US" w:eastAsia="zh-CN"/>
              </w:rPr>
              <w:t>,用于更新改造材质落后、使用年限较长、运行环境存在安全隐患,不符合相关标准规范规定的城市燃气、供水、排水、供热等老化管道和设施。</w:t>
            </w:r>
            <w:r>
              <w:rPr>
                <w:color w:val="000000"/>
                <w:kern w:val="0"/>
                <w:sz w:val="21"/>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959" w:type="dxa"/>
            <w:vMerge w:val="restart"/>
            <w:tcBorders>
              <w:top w:val="nil"/>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绩</w:t>
            </w:r>
            <w:r>
              <w:rPr>
                <w:color w:val="000000"/>
                <w:kern w:val="0"/>
                <w:sz w:val="21"/>
                <w:szCs w:val="21"/>
              </w:rPr>
              <w:br w:type="textWrapping"/>
            </w:r>
            <w:r>
              <w:rPr>
                <w:color w:val="000000"/>
                <w:kern w:val="0"/>
                <w:sz w:val="21"/>
                <w:szCs w:val="21"/>
              </w:rPr>
              <w:t>效</w:t>
            </w:r>
            <w:r>
              <w:rPr>
                <w:color w:val="000000"/>
                <w:kern w:val="0"/>
                <w:sz w:val="21"/>
                <w:szCs w:val="21"/>
              </w:rPr>
              <w:br w:type="textWrapping"/>
            </w:r>
            <w:r>
              <w:rPr>
                <w:color w:val="000000"/>
                <w:kern w:val="0"/>
                <w:sz w:val="21"/>
                <w:szCs w:val="21"/>
              </w:rPr>
              <w:t>指</w:t>
            </w:r>
            <w:r>
              <w:rPr>
                <w:color w:val="000000"/>
                <w:kern w:val="0"/>
                <w:sz w:val="21"/>
                <w:szCs w:val="21"/>
              </w:rPr>
              <w:br w:type="textWrapping"/>
            </w:r>
            <w:r>
              <w:rPr>
                <w:color w:val="000000"/>
                <w:kern w:val="0"/>
                <w:sz w:val="21"/>
                <w:szCs w:val="21"/>
              </w:rPr>
              <w:t>标</w:t>
            </w:r>
          </w:p>
        </w:tc>
        <w:tc>
          <w:tcPr>
            <w:tcW w:w="1726"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一级指标</w:t>
            </w:r>
          </w:p>
        </w:tc>
        <w:tc>
          <w:tcPr>
            <w:tcW w:w="1254" w:type="dxa"/>
            <w:gridSpan w:val="2"/>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二级指标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三级指标</w:t>
            </w:r>
          </w:p>
        </w:tc>
        <w:tc>
          <w:tcPr>
            <w:tcW w:w="2291"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left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eastAsia="zh-CN"/>
              </w:rPr>
              <w:t>实施效果指标</w:t>
            </w:r>
          </w:p>
        </w:tc>
        <w:tc>
          <w:tcPr>
            <w:tcW w:w="1254" w:type="dxa"/>
            <w:gridSpan w:val="2"/>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产出指标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下达中央预算内投资</w:t>
            </w:r>
          </w:p>
        </w:tc>
        <w:tc>
          <w:tcPr>
            <w:tcW w:w="2291" w:type="dxa"/>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1079万元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效益指标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提高群众获得感、幸福感</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eastAsia="zh-CN"/>
              </w:rPr>
            </w:pPr>
            <w:r>
              <w:rPr>
                <w:rFonts w:hint="eastAsia"/>
                <w:color w:val="000000"/>
                <w:kern w:val="0"/>
                <w:sz w:val="21"/>
                <w:szCs w:val="21"/>
                <w:lang w:eastAsia="zh-CN"/>
              </w:rPr>
              <w:t>满意度指标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eastAsia="zh-CN"/>
              </w:rPr>
              <w:t>居民满意度</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过程管理指标</w:t>
            </w:r>
          </w:p>
          <w:p>
            <w:pPr>
              <w:snapToGrid w:val="0"/>
              <w:ind w:firstLine="320"/>
              <w:contextualSpacing/>
              <w:jc w:val="center"/>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计划管理指标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投资计划分解（转发）用时达标率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“两个责任”按项目落实到位率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spacing w:val="-16"/>
                <w:kern w:val="0"/>
                <w:sz w:val="21"/>
                <w:szCs w:val="21"/>
                <w:lang w:val="en-US" w:eastAsia="zh-CN"/>
              </w:rPr>
            </w:pPr>
            <w:r>
              <w:rPr>
                <w:rFonts w:hint="eastAsia"/>
                <w:color w:val="000000"/>
                <w:spacing w:val="-16"/>
                <w:kern w:val="0"/>
                <w:sz w:val="21"/>
                <w:szCs w:val="21"/>
                <w:lang w:val="en-US" w:eastAsia="zh-CN"/>
              </w:rPr>
              <w:t>资金管理指标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中央预算内投资支付率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年度计划投资完成率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项目管理指标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项目开工率</w:t>
            </w:r>
          </w:p>
        </w:tc>
        <w:tc>
          <w:tcPr>
            <w:tcW w:w="2291" w:type="dxa"/>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959"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超规模、超标准、超概算项目比例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959"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监督检查指标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审计、督查、巡视等指出问题项目比例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w:t>
            </w:r>
          </w:p>
        </w:tc>
      </w:tr>
    </w:tbl>
    <w:p>
      <w:pPr>
        <w:snapToGrid w:val="0"/>
        <w:spacing w:line="240" w:lineRule="auto"/>
        <w:ind w:left="0" w:leftChars="0" w:firstLine="0" w:firstLineChars="0"/>
        <w:contextualSpacing/>
        <w:textAlignment w:val="auto"/>
        <w:rPr>
          <w:rFonts w:hint="eastAsia"/>
          <w:color w:val="000000"/>
          <w:kern w:val="0"/>
          <w:sz w:val="16"/>
          <w:szCs w:val="16"/>
        </w:rPr>
      </w:pPr>
    </w:p>
    <w:p>
      <w:pPr>
        <w:snapToGrid w:val="0"/>
        <w:spacing w:line="240" w:lineRule="auto"/>
        <w:ind w:left="0" w:leftChars="0" w:firstLine="0" w:firstLineChars="0"/>
        <w:contextualSpacing/>
        <w:textAlignment w:val="auto"/>
        <w:rPr>
          <w:rFonts w:hint="eastAsia"/>
          <w:color w:val="000000"/>
          <w:kern w:val="0"/>
          <w:sz w:val="16"/>
          <w:szCs w:val="16"/>
        </w:rPr>
        <w:sectPr>
          <w:headerReference r:id="rId7" w:type="first"/>
          <w:footerReference r:id="rId10" w:type="first"/>
          <w:headerReference r:id="rId5" w:type="default"/>
          <w:footerReference r:id="rId8" w:type="default"/>
          <w:headerReference r:id="rId6" w:type="even"/>
          <w:footerReference r:id="rId9" w:type="even"/>
          <w:pgSz w:w="11906" w:h="16838"/>
          <w:pgMar w:top="1985" w:right="1616" w:bottom="1814" w:left="1616" w:header="851" w:footer="1474" w:gutter="0"/>
          <w:cols w:space="720" w:num="1"/>
          <w:docGrid w:type="lines" w:linePitch="588" w:charSpace="0"/>
        </w:sectPr>
      </w:pPr>
    </w:p>
    <w:p>
      <w:pPr>
        <w:snapToGrid w:val="0"/>
        <w:ind w:firstLine="0" w:firstLineChars="0"/>
        <w:jc w:val="center"/>
        <w:rPr>
          <w:rFonts w:hint="eastAsia" w:ascii="方正小标宋_GBK" w:eastAsia="方正小标宋_GBK"/>
          <w:sz w:val="40"/>
          <w:szCs w:val="40"/>
        </w:rPr>
      </w:pPr>
    </w:p>
    <w:p>
      <w:pPr>
        <w:snapToGrid w:val="0"/>
        <w:ind w:firstLine="0" w:firstLineChars="0"/>
        <w:jc w:val="center"/>
        <w:rPr>
          <w:rFonts w:hint="eastAsia" w:ascii="方正小标宋_GBK" w:eastAsia="方正小标宋_GBK"/>
          <w:sz w:val="40"/>
          <w:szCs w:val="40"/>
        </w:rPr>
      </w:pPr>
      <w:r>
        <w:rPr>
          <w:rFonts w:hint="eastAsia" w:ascii="方正小标宋_GBK" w:eastAsia="方正小标宋_GBK"/>
          <w:sz w:val="40"/>
          <w:szCs w:val="40"/>
        </w:rPr>
        <w:t>20</w:t>
      </w:r>
      <w:r>
        <w:rPr>
          <w:rFonts w:hint="eastAsia" w:ascii="方正小标宋_GBK" w:eastAsia="方正小标宋_GBK"/>
          <w:sz w:val="40"/>
          <w:szCs w:val="40"/>
          <w:lang w:val="en-US" w:eastAsia="zh-CN"/>
        </w:rPr>
        <w:t>22</w:t>
      </w:r>
      <w:r>
        <w:rPr>
          <w:rFonts w:hint="eastAsia" w:ascii="方正小标宋_GBK" w:eastAsia="方正小标宋_GBK"/>
          <w:sz w:val="40"/>
          <w:szCs w:val="40"/>
        </w:rPr>
        <w:t>年</w:t>
      </w:r>
      <w:r>
        <w:rPr>
          <w:rFonts w:hint="eastAsia" w:ascii="方正小标宋_GBK" w:eastAsia="方正小标宋_GBK"/>
          <w:sz w:val="40"/>
          <w:szCs w:val="40"/>
          <w:lang w:eastAsia="zh-CN"/>
        </w:rPr>
        <w:t>城市燃气管道等老化更新改造中央基建投资预算</w:t>
      </w:r>
      <w:r>
        <w:rPr>
          <w:rFonts w:hint="eastAsia" w:ascii="方正小标宋_GBK" w:eastAsia="方正小标宋_GBK"/>
          <w:sz w:val="40"/>
          <w:szCs w:val="40"/>
        </w:rPr>
        <w:t>绩效目标表</w:t>
      </w:r>
    </w:p>
    <w:p>
      <w:pPr>
        <w:snapToGrid w:val="0"/>
        <w:ind w:firstLine="0" w:firstLineChars="0"/>
        <w:jc w:val="center"/>
        <w:rPr>
          <w:rFonts w:hint="eastAsia" w:ascii="方正小标宋_GBK" w:eastAsia="方正小标宋_GBK"/>
          <w:sz w:val="36"/>
          <w:szCs w:val="36"/>
          <w:lang w:eastAsia="zh-CN"/>
        </w:rPr>
      </w:pPr>
      <w:r>
        <w:rPr>
          <w:rFonts w:hint="eastAsia" w:ascii="方正小标宋_GBK" w:eastAsia="方正小标宋_GBK"/>
          <w:sz w:val="36"/>
          <w:szCs w:val="36"/>
          <w:lang w:eastAsia="zh-CN"/>
        </w:rPr>
        <w:t>（</w:t>
      </w:r>
      <w:r>
        <w:rPr>
          <w:rFonts w:hint="eastAsia" w:ascii="方正小标宋_GBK" w:eastAsia="方正小标宋_GBK"/>
          <w:b w:val="0"/>
          <w:bCs w:val="0"/>
          <w:sz w:val="32"/>
          <w:szCs w:val="32"/>
          <w:lang w:val="en-US" w:eastAsia="zh-CN"/>
        </w:rPr>
        <w:t>2022年度</w:t>
      </w:r>
      <w:r>
        <w:rPr>
          <w:rFonts w:hint="eastAsia" w:ascii="方正小标宋_GBK" w:eastAsia="方正小标宋_GBK"/>
          <w:sz w:val="36"/>
          <w:szCs w:val="36"/>
          <w:lang w:eastAsia="zh-CN"/>
        </w:rPr>
        <w:t>）</w:t>
      </w:r>
    </w:p>
    <w:tbl>
      <w:tblPr>
        <w:tblStyle w:val="4"/>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1726"/>
        <w:gridCol w:w="629"/>
        <w:gridCol w:w="625"/>
        <w:gridCol w:w="2660"/>
        <w:gridCol w:w="2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lang w:eastAsia="zh-CN"/>
              </w:rPr>
              <w:t>项目</w:t>
            </w:r>
            <w:r>
              <w:rPr>
                <w:color w:val="000000"/>
                <w:kern w:val="0"/>
                <w:sz w:val="21"/>
                <w:szCs w:val="21"/>
              </w:rPr>
              <w:t>名称</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平远县燃气管道老旧更新改造工程项目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下达地方或单位</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梅州市发展改革局、住房城乡建设局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本次下达中央预算内投资（万元）</w:t>
            </w:r>
          </w:p>
        </w:tc>
        <w:tc>
          <w:tcPr>
            <w:tcW w:w="557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2" w:hRule="atLeast"/>
        </w:trPr>
        <w:tc>
          <w:tcPr>
            <w:tcW w:w="959" w:type="dxa"/>
            <w:tcBorders>
              <w:top w:val="nil"/>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总</w:t>
            </w:r>
            <w:r>
              <w:rPr>
                <w:color w:val="000000"/>
                <w:kern w:val="0"/>
                <w:sz w:val="21"/>
                <w:szCs w:val="21"/>
              </w:rPr>
              <w:br w:type="textWrapping"/>
            </w:r>
            <w:r>
              <w:rPr>
                <w:color w:val="000000"/>
                <w:kern w:val="0"/>
                <w:sz w:val="21"/>
                <w:szCs w:val="21"/>
              </w:rPr>
              <w:t>体</w:t>
            </w:r>
            <w:r>
              <w:rPr>
                <w:color w:val="000000"/>
                <w:kern w:val="0"/>
                <w:sz w:val="21"/>
                <w:szCs w:val="21"/>
              </w:rPr>
              <w:br w:type="textWrapping"/>
            </w:r>
            <w:r>
              <w:rPr>
                <w:color w:val="000000"/>
                <w:kern w:val="0"/>
                <w:sz w:val="21"/>
                <w:szCs w:val="21"/>
              </w:rPr>
              <w:t>目</w:t>
            </w:r>
            <w:r>
              <w:rPr>
                <w:color w:val="000000"/>
                <w:kern w:val="0"/>
                <w:sz w:val="21"/>
                <w:szCs w:val="21"/>
              </w:rPr>
              <w:br w:type="textWrapping"/>
            </w:r>
            <w:r>
              <w:rPr>
                <w:color w:val="000000"/>
                <w:kern w:val="0"/>
                <w:sz w:val="21"/>
                <w:szCs w:val="21"/>
              </w:rPr>
              <w:t>标</w:t>
            </w:r>
          </w:p>
        </w:tc>
        <w:tc>
          <w:tcPr>
            <w:tcW w:w="7931" w:type="dxa"/>
            <w:gridSpan w:val="5"/>
            <w:tcBorders>
              <w:top w:val="single" w:color="auto" w:sz="4" w:space="0"/>
              <w:left w:val="nil"/>
              <w:bottom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val="en-US" w:eastAsia="zh-CN"/>
              </w:rPr>
              <w:t xml:space="preserve">    </w:t>
            </w:r>
            <w:r>
              <w:rPr>
                <w:rFonts w:hint="eastAsia"/>
                <w:color w:val="000000"/>
                <w:kern w:val="0"/>
                <w:sz w:val="21"/>
                <w:szCs w:val="21"/>
                <w:lang w:eastAsia="zh-CN"/>
              </w:rPr>
              <w:t>按照《城市燃气管道等老化更新改造和保障性安居工程中央预算内投资专项管理暂行办法》有关</w:t>
            </w:r>
            <w:r>
              <w:rPr>
                <w:rFonts w:hint="eastAsia"/>
                <w:color w:val="000000"/>
                <w:kern w:val="0"/>
                <w:sz w:val="21"/>
                <w:szCs w:val="21"/>
                <w:lang w:val="en-US" w:eastAsia="zh-CN"/>
              </w:rPr>
              <w:t>规定，将</w:t>
            </w:r>
            <w:r>
              <w:rPr>
                <w:rFonts w:hint="eastAsia"/>
                <w:color w:val="000000"/>
                <w:kern w:val="0"/>
                <w:sz w:val="21"/>
                <w:szCs w:val="21"/>
                <w:lang w:eastAsia="zh-CN"/>
              </w:rPr>
              <w:t>城市燃气管道等老化更新改造专项中央预算内投资计划尽快分解下达</w:t>
            </w:r>
            <w:r>
              <w:rPr>
                <w:rFonts w:hint="eastAsia"/>
                <w:color w:val="000000"/>
                <w:kern w:val="0"/>
                <w:sz w:val="21"/>
                <w:szCs w:val="21"/>
                <w:lang w:val="en-US" w:eastAsia="zh-CN"/>
              </w:rPr>
              <w:t>,用于更新改造材质落后、使用年限较长、运行环境存在安全隐患,不符合相关标准规范规定的城市燃气、供水、排水、供热等老化管道和设施。</w:t>
            </w:r>
            <w:r>
              <w:rPr>
                <w:color w:val="000000"/>
                <w:kern w:val="0"/>
                <w:sz w:val="21"/>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959" w:type="dxa"/>
            <w:vMerge w:val="restart"/>
            <w:tcBorders>
              <w:top w:val="nil"/>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绩</w:t>
            </w:r>
            <w:r>
              <w:rPr>
                <w:color w:val="000000"/>
                <w:kern w:val="0"/>
                <w:sz w:val="21"/>
                <w:szCs w:val="21"/>
              </w:rPr>
              <w:br w:type="textWrapping"/>
            </w:r>
            <w:r>
              <w:rPr>
                <w:color w:val="000000"/>
                <w:kern w:val="0"/>
                <w:sz w:val="21"/>
                <w:szCs w:val="21"/>
              </w:rPr>
              <w:t>效</w:t>
            </w:r>
            <w:r>
              <w:rPr>
                <w:color w:val="000000"/>
                <w:kern w:val="0"/>
                <w:sz w:val="21"/>
                <w:szCs w:val="21"/>
              </w:rPr>
              <w:br w:type="textWrapping"/>
            </w:r>
            <w:r>
              <w:rPr>
                <w:color w:val="000000"/>
                <w:kern w:val="0"/>
                <w:sz w:val="21"/>
                <w:szCs w:val="21"/>
              </w:rPr>
              <w:t>指</w:t>
            </w:r>
            <w:r>
              <w:rPr>
                <w:color w:val="000000"/>
                <w:kern w:val="0"/>
                <w:sz w:val="21"/>
                <w:szCs w:val="21"/>
              </w:rPr>
              <w:br w:type="textWrapping"/>
            </w:r>
            <w:r>
              <w:rPr>
                <w:color w:val="000000"/>
                <w:kern w:val="0"/>
                <w:sz w:val="21"/>
                <w:szCs w:val="21"/>
              </w:rPr>
              <w:t>标</w:t>
            </w:r>
          </w:p>
        </w:tc>
        <w:tc>
          <w:tcPr>
            <w:tcW w:w="1726"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一级指标</w:t>
            </w:r>
          </w:p>
        </w:tc>
        <w:tc>
          <w:tcPr>
            <w:tcW w:w="1254" w:type="dxa"/>
            <w:gridSpan w:val="2"/>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二级指标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三级指标</w:t>
            </w:r>
          </w:p>
        </w:tc>
        <w:tc>
          <w:tcPr>
            <w:tcW w:w="2291"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left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eastAsia="zh-CN"/>
              </w:rPr>
              <w:t>实施效果指标</w:t>
            </w:r>
          </w:p>
        </w:tc>
        <w:tc>
          <w:tcPr>
            <w:tcW w:w="1254" w:type="dxa"/>
            <w:gridSpan w:val="2"/>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产出指标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下达中央预算内投资</w:t>
            </w:r>
          </w:p>
        </w:tc>
        <w:tc>
          <w:tcPr>
            <w:tcW w:w="2291" w:type="dxa"/>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400万元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效益指标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提高群众获得感、幸福感</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eastAsia="zh-CN"/>
              </w:rPr>
            </w:pPr>
            <w:r>
              <w:rPr>
                <w:rFonts w:hint="eastAsia"/>
                <w:color w:val="000000"/>
                <w:kern w:val="0"/>
                <w:sz w:val="21"/>
                <w:szCs w:val="21"/>
                <w:lang w:eastAsia="zh-CN"/>
              </w:rPr>
              <w:t>满意度指标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eastAsia="zh-CN"/>
              </w:rPr>
              <w:t>居民满意度</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过程管理指标</w:t>
            </w:r>
          </w:p>
          <w:p>
            <w:pPr>
              <w:snapToGrid w:val="0"/>
              <w:ind w:firstLine="320"/>
              <w:contextualSpacing/>
              <w:jc w:val="center"/>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计划管理指标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投资计划分解（转发）用时达标率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“两个责任”按项目落实到位率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spacing w:val="-16"/>
                <w:kern w:val="0"/>
                <w:sz w:val="21"/>
                <w:szCs w:val="21"/>
                <w:lang w:val="en-US" w:eastAsia="zh-CN"/>
              </w:rPr>
            </w:pPr>
            <w:r>
              <w:rPr>
                <w:rFonts w:hint="eastAsia"/>
                <w:color w:val="000000"/>
                <w:spacing w:val="-16"/>
                <w:kern w:val="0"/>
                <w:sz w:val="21"/>
                <w:szCs w:val="21"/>
                <w:lang w:val="en-US" w:eastAsia="zh-CN"/>
              </w:rPr>
              <w:t>资金管理指标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中央预算内投资支付率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年度计划投资完成率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项目管理指标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项目开工率</w:t>
            </w:r>
          </w:p>
        </w:tc>
        <w:tc>
          <w:tcPr>
            <w:tcW w:w="2291" w:type="dxa"/>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959"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超规模、超标准、超概算项目比例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959"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监督检查指标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审计、督查、巡视等指出问题项目比例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w:t>
            </w:r>
          </w:p>
        </w:tc>
      </w:tr>
    </w:tbl>
    <w:p>
      <w:pPr>
        <w:snapToGrid w:val="0"/>
        <w:spacing w:line="240" w:lineRule="auto"/>
        <w:ind w:left="0" w:leftChars="0" w:firstLine="0" w:firstLineChars="0"/>
        <w:contextualSpacing/>
        <w:textAlignment w:val="auto"/>
        <w:rPr>
          <w:rFonts w:hint="eastAsia"/>
          <w:color w:val="000000"/>
          <w:kern w:val="0"/>
          <w:sz w:val="16"/>
          <w:szCs w:val="16"/>
        </w:rPr>
      </w:pPr>
    </w:p>
    <w:p>
      <w:pPr>
        <w:snapToGrid w:val="0"/>
        <w:spacing w:line="240" w:lineRule="auto"/>
        <w:ind w:left="0" w:leftChars="0" w:firstLine="0" w:firstLineChars="0"/>
        <w:contextualSpacing/>
        <w:textAlignment w:val="auto"/>
        <w:rPr>
          <w:rFonts w:hint="eastAsia"/>
          <w:color w:val="000000"/>
          <w:kern w:val="0"/>
          <w:sz w:val="16"/>
          <w:szCs w:val="16"/>
        </w:rPr>
        <w:sectPr>
          <w:headerReference r:id="rId13" w:type="first"/>
          <w:footerReference r:id="rId16" w:type="first"/>
          <w:headerReference r:id="rId11" w:type="default"/>
          <w:footerReference r:id="rId14" w:type="default"/>
          <w:headerReference r:id="rId12" w:type="even"/>
          <w:footerReference r:id="rId15" w:type="even"/>
          <w:pgSz w:w="11906" w:h="16838"/>
          <w:pgMar w:top="1985" w:right="1616" w:bottom="1814" w:left="1616" w:header="851" w:footer="1474" w:gutter="0"/>
          <w:cols w:space="720" w:num="1"/>
          <w:docGrid w:type="lines" w:linePitch="588" w:charSpace="0"/>
        </w:sectPr>
      </w:pPr>
    </w:p>
    <w:p>
      <w:pPr>
        <w:snapToGrid w:val="0"/>
        <w:ind w:firstLine="0" w:firstLineChars="0"/>
        <w:jc w:val="center"/>
        <w:rPr>
          <w:rFonts w:hint="eastAsia" w:ascii="方正小标宋_GBK" w:eastAsia="方正小标宋_GBK"/>
          <w:sz w:val="40"/>
          <w:szCs w:val="40"/>
        </w:rPr>
      </w:pPr>
    </w:p>
    <w:p>
      <w:pPr>
        <w:snapToGrid w:val="0"/>
        <w:ind w:firstLine="0" w:firstLineChars="0"/>
        <w:jc w:val="center"/>
        <w:rPr>
          <w:rFonts w:hint="eastAsia" w:ascii="方正小标宋_GBK" w:eastAsia="方正小标宋_GBK"/>
          <w:sz w:val="40"/>
          <w:szCs w:val="40"/>
        </w:rPr>
      </w:pPr>
      <w:r>
        <w:rPr>
          <w:rFonts w:hint="eastAsia" w:ascii="方正小标宋_GBK" w:eastAsia="方正小标宋_GBK"/>
          <w:sz w:val="40"/>
          <w:szCs w:val="40"/>
        </w:rPr>
        <w:t>20</w:t>
      </w:r>
      <w:r>
        <w:rPr>
          <w:rFonts w:hint="eastAsia" w:ascii="方正小标宋_GBK" w:eastAsia="方正小标宋_GBK"/>
          <w:sz w:val="40"/>
          <w:szCs w:val="40"/>
          <w:lang w:val="en-US" w:eastAsia="zh-CN"/>
        </w:rPr>
        <w:t>22</w:t>
      </w:r>
      <w:r>
        <w:rPr>
          <w:rFonts w:hint="eastAsia" w:ascii="方正小标宋_GBK" w:eastAsia="方正小标宋_GBK"/>
          <w:sz w:val="40"/>
          <w:szCs w:val="40"/>
        </w:rPr>
        <w:t>年</w:t>
      </w:r>
      <w:r>
        <w:rPr>
          <w:rFonts w:hint="eastAsia" w:ascii="方正小标宋_GBK" w:eastAsia="方正小标宋_GBK"/>
          <w:sz w:val="40"/>
          <w:szCs w:val="40"/>
          <w:lang w:eastAsia="zh-CN"/>
        </w:rPr>
        <w:t>城市燃气管道等老化更新改造中央基建投资预算</w:t>
      </w:r>
      <w:r>
        <w:rPr>
          <w:rFonts w:hint="eastAsia" w:ascii="方正小标宋_GBK" w:eastAsia="方正小标宋_GBK"/>
          <w:sz w:val="40"/>
          <w:szCs w:val="40"/>
        </w:rPr>
        <w:t>绩效目标表</w:t>
      </w:r>
    </w:p>
    <w:p>
      <w:pPr>
        <w:snapToGrid w:val="0"/>
        <w:ind w:firstLine="0" w:firstLineChars="0"/>
        <w:jc w:val="center"/>
        <w:rPr>
          <w:rFonts w:hint="eastAsia" w:ascii="方正小标宋_GBK" w:eastAsia="方正小标宋_GBK"/>
          <w:sz w:val="36"/>
          <w:szCs w:val="36"/>
          <w:lang w:eastAsia="zh-CN"/>
        </w:rPr>
      </w:pPr>
      <w:r>
        <w:rPr>
          <w:rFonts w:hint="eastAsia" w:ascii="方正小标宋_GBK" w:eastAsia="方正小标宋_GBK"/>
          <w:sz w:val="36"/>
          <w:szCs w:val="36"/>
          <w:lang w:eastAsia="zh-CN"/>
        </w:rPr>
        <w:t>（</w:t>
      </w:r>
      <w:r>
        <w:rPr>
          <w:rFonts w:hint="eastAsia" w:ascii="方正小标宋_GBK" w:eastAsia="方正小标宋_GBK"/>
          <w:b w:val="0"/>
          <w:bCs w:val="0"/>
          <w:sz w:val="32"/>
          <w:szCs w:val="32"/>
          <w:lang w:val="en-US" w:eastAsia="zh-CN"/>
        </w:rPr>
        <w:t>2022年度</w:t>
      </w:r>
      <w:r>
        <w:rPr>
          <w:rFonts w:hint="eastAsia" w:ascii="方正小标宋_GBK" w:eastAsia="方正小标宋_GBK"/>
          <w:sz w:val="36"/>
          <w:szCs w:val="36"/>
          <w:lang w:eastAsia="zh-CN"/>
        </w:rPr>
        <w:t>）</w:t>
      </w:r>
    </w:p>
    <w:tbl>
      <w:tblPr>
        <w:tblStyle w:val="4"/>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1726"/>
        <w:gridCol w:w="629"/>
        <w:gridCol w:w="625"/>
        <w:gridCol w:w="2660"/>
        <w:gridCol w:w="2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lang w:eastAsia="zh-CN"/>
              </w:rPr>
              <w:t>项目</w:t>
            </w:r>
            <w:r>
              <w:rPr>
                <w:color w:val="000000"/>
                <w:kern w:val="0"/>
                <w:sz w:val="21"/>
                <w:szCs w:val="21"/>
              </w:rPr>
              <w:t>名称</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蕉岭县县城居民燃气户内设施改造项目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下达地方或单位</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梅州市发展改革局、住房城乡建设局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本次下达中央预算内投资（万元）</w:t>
            </w:r>
          </w:p>
        </w:tc>
        <w:tc>
          <w:tcPr>
            <w:tcW w:w="557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2" w:hRule="atLeast"/>
        </w:trPr>
        <w:tc>
          <w:tcPr>
            <w:tcW w:w="959" w:type="dxa"/>
            <w:tcBorders>
              <w:top w:val="nil"/>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总</w:t>
            </w:r>
            <w:r>
              <w:rPr>
                <w:color w:val="000000"/>
                <w:kern w:val="0"/>
                <w:sz w:val="21"/>
                <w:szCs w:val="21"/>
              </w:rPr>
              <w:br w:type="textWrapping"/>
            </w:r>
            <w:r>
              <w:rPr>
                <w:color w:val="000000"/>
                <w:kern w:val="0"/>
                <w:sz w:val="21"/>
                <w:szCs w:val="21"/>
              </w:rPr>
              <w:t>体</w:t>
            </w:r>
            <w:r>
              <w:rPr>
                <w:color w:val="000000"/>
                <w:kern w:val="0"/>
                <w:sz w:val="21"/>
                <w:szCs w:val="21"/>
              </w:rPr>
              <w:br w:type="textWrapping"/>
            </w:r>
            <w:r>
              <w:rPr>
                <w:color w:val="000000"/>
                <w:kern w:val="0"/>
                <w:sz w:val="21"/>
                <w:szCs w:val="21"/>
              </w:rPr>
              <w:t>目</w:t>
            </w:r>
            <w:r>
              <w:rPr>
                <w:color w:val="000000"/>
                <w:kern w:val="0"/>
                <w:sz w:val="21"/>
                <w:szCs w:val="21"/>
              </w:rPr>
              <w:br w:type="textWrapping"/>
            </w:r>
            <w:r>
              <w:rPr>
                <w:color w:val="000000"/>
                <w:kern w:val="0"/>
                <w:sz w:val="21"/>
                <w:szCs w:val="21"/>
              </w:rPr>
              <w:t>标</w:t>
            </w:r>
          </w:p>
        </w:tc>
        <w:tc>
          <w:tcPr>
            <w:tcW w:w="7931" w:type="dxa"/>
            <w:gridSpan w:val="5"/>
            <w:tcBorders>
              <w:top w:val="single" w:color="auto" w:sz="4" w:space="0"/>
              <w:left w:val="nil"/>
              <w:bottom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val="en-US" w:eastAsia="zh-CN"/>
              </w:rPr>
              <w:t xml:space="preserve">    </w:t>
            </w:r>
            <w:r>
              <w:rPr>
                <w:rFonts w:hint="eastAsia"/>
                <w:color w:val="000000"/>
                <w:kern w:val="0"/>
                <w:sz w:val="21"/>
                <w:szCs w:val="21"/>
                <w:lang w:eastAsia="zh-CN"/>
              </w:rPr>
              <w:t>按照《城市燃气管道等老化更新改造和保障性安居工程中央预算内投资专项管理暂行办法》有关</w:t>
            </w:r>
            <w:r>
              <w:rPr>
                <w:rFonts w:hint="eastAsia"/>
                <w:color w:val="000000"/>
                <w:kern w:val="0"/>
                <w:sz w:val="21"/>
                <w:szCs w:val="21"/>
                <w:lang w:val="en-US" w:eastAsia="zh-CN"/>
              </w:rPr>
              <w:t>规定，将</w:t>
            </w:r>
            <w:r>
              <w:rPr>
                <w:rFonts w:hint="eastAsia"/>
                <w:color w:val="000000"/>
                <w:kern w:val="0"/>
                <w:sz w:val="21"/>
                <w:szCs w:val="21"/>
                <w:lang w:eastAsia="zh-CN"/>
              </w:rPr>
              <w:t>城市燃气管道等老化更新改造专项中央预算内投资计划尽快分解下达</w:t>
            </w:r>
            <w:r>
              <w:rPr>
                <w:rFonts w:hint="eastAsia"/>
                <w:color w:val="000000"/>
                <w:kern w:val="0"/>
                <w:sz w:val="21"/>
                <w:szCs w:val="21"/>
                <w:lang w:val="en-US" w:eastAsia="zh-CN"/>
              </w:rPr>
              <w:t>,用于更新改造材质落后、使用年限较长、运行环境存在安全隐患,不符合相关标准规范规定的城市燃气、供水、排水、供热等老化管道和设施。</w:t>
            </w:r>
            <w:r>
              <w:rPr>
                <w:color w:val="000000"/>
                <w:kern w:val="0"/>
                <w:sz w:val="21"/>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959" w:type="dxa"/>
            <w:vMerge w:val="restart"/>
            <w:tcBorders>
              <w:top w:val="nil"/>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绩</w:t>
            </w:r>
            <w:r>
              <w:rPr>
                <w:color w:val="000000"/>
                <w:kern w:val="0"/>
                <w:sz w:val="21"/>
                <w:szCs w:val="21"/>
              </w:rPr>
              <w:br w:type="textWrapping"/>
            </w:r>
            <w:r>
              <w:rPr>
                <w:color w:val="000000"/>
                <w:kern w:val="0"/>
                <w:sz w:val="21"/>
                <w:szCs w:val="21"/>
              </w:rPr>
              <w:t>效</w:t>
            </w:r>
            <w:r>
              <w:rPr>
                <w:color w:val="000000"/>
                <w:kern w:val="0"/>
                <w:sz w:val="21"/>
                <w:szCs w:val="21"/>
              </w:rPr>
              <w:br w:type="textWrapping"/>
            </w:r>
            <w:r>
              <w:rPr>
                <w:color w:val="000000"/>
                <w:kern w:val="0"/>
                <w:sz w:val="21"/>
                <w:szCs w:val="21"/>
              </w:rPr>
              <w:t>指</w:t>
            </w:r>
            <w:r>
              <w:rPr>
                <w:color w:val="000000"/>
                <w:kern w:val="0"/>
                <w:sz w:val="21"/>
                <w:szCs w:val="21"/>
              </w:rPr>
              <w:br w:type="textWrapping"/>
            </w:r>
            <w:r>
              <w:rPr>
                <w:color w:val="000000"/>
                <w:kern w:val="0"/>
                <w:sz w:val="21"/>
                <w:szCs w:val="21"/>
              </w:rPr>
              <w:t>标</w:t>
            </w:r>
          </w:p>
        </w:tc>
        <w:tc>
          <w:tcPr>
            <w:tcW w:w="1726"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一级指标</w:t>
            </w:r>
          </w:p>
        </w:tc>
        <w:tc>
          <w:tcPr>
            <w:tcW w:w="1254" w:type="dxa"/>
            <w:gridSpan w:val="2"/>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二级指标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三级指标</w:t>
            </w:r>
          </w:p>
        </w:tc>
        <w:tc>
          <w:tcPr>
            <w:tcW w:w="2291"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left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eastAsia="zh-CN"/>
              </w:rPr>
              <w:t>实施效果指标</w:t>
            </w:r>
          </w:p>
        </w:tc>
        <w:tc>
          <w:tcPr>
            <w:tcW w:w="1254" w:type="dxa"/>
            <w:gridSpan w:val="2"/>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产出指标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下达中央预算内投资</w:t>
            </w:r>
          </w:p>
        </w:tc>
        <w:tc>
          <w:tcPr>
            <w:tcW w:w="2291" w:type="dxa"/>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524万元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效益指标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提高群众获得感、幸福感</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eastAsia="zh-CN"/>
              </w:rPr>
            </w:pPr>
            <w:r>
              <w:rPr>
                <w:rFonts w:hint="eastAsia"/>
                <w:color w:val="000000"/>
                <w:kern w:val="0"/>
                <w:sz w:val="21"/>
                <w:szCs w:val="21"/>
                <w:lang w:eastAsia="zh-CN"/>
              </w:rPr>
              <w:t>满意度指标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eastAsia="zh-CN"/>
              </w:rPr>
              <w:t>居民满意度</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过程管理指标</w:t>
            </w:r>
          </w:p>
          <w:p>
            <w:pPr>
              <w:snapToGrid w:val="0"/>
              <w:ind w:firstLine="320"/>
              <w:contextualSpacing/>
              <w:jc w:val="center"/>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计划管理指标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投资计划分解（转发）用时达标率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“两个责任”按项目落实到位率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spacing w:val="-16"/>
                <w:kern w:val="0"/>
                <w:sz w:val="21"/>
                <w:szCs w:val="21"/>
                <w:lang w:val="en-US" w:eastAsia="zh-CN"/>
              </w:rPr>
            </w:pPr>
            <w:r>
              <w:rPr>
                <w:rFonts w:hint="eastAsia"/>
                <w:color w:val="000000"/>
                <w:spacing w:val="-16"/>
                <w:kern w:val="0"/>
                <w:sz w:val="21"/>
                <w:szCs w:val="21"/>
                <w:lang w:val="en-US" w:eastAsia="zh-CN"/>
              </w:rPr>
              <w:t>资金管理指标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中央预算内投资支付率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年度计划投资完成率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项目管理指标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项目开工率</w:t>
            </w:r>
          </w:p>
        </w:tc>
        <w:tc>
          <w:tcPr>
            <w:tcW w:w="2291" w:type="dxa"/>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959"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超规模、超标准、超概算项目比例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959"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监督检查指标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审计、督查、巡视等指出问题项目比例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w:t>
            </w:r>
          </w:p>
        </w:tc>
      </w:tr>
    </w:tbl>
    <w:p>
      <w:pPr>
        <w:snapToGrid w:val="0"/>
        <w:spacing w:line="240" w:lineRule="auto"/>
        <w:ind w:left="0" w:leftChars="0" w:firstLine="0" w:firstLineChars="0"/>
        <w:contextualSpacing/>
        <w:textAlignment w:val="auto"/>
        <w:rPr>
          <w:rFonts w:hint="eastAsia"/>
          <w:color w:val="000000"/>
          <w:kern w:val="0"/>
          <w:sz w:val="16"/>
          <w:szCs w:val="16"/>
        </w:rPr>
      </w:pPr>
    </w:p>
    <w:p>
      <w:pPr>
        <w:snapToGrid w:val="0"/>
        <w:spacing w:line="240" w:lineRule="auto"/>
        <w:ind w:left="0" w:leftChars="0" w:firstLine="0" w:firstLineChars="0"/>
        <w:contextualSpacing/>
        <w:textAlignment w:val="auto"/>
        <w:rPr>
          <w:rFonts w:hint="eastAsia"/>
          <w:color w:val="000000"/>
          <w:kern w:val="0"/>
          <w:sz w:val="16"/>
          <w:szCs w:val="16"/>
        </w:rPr>
        <w:sectPr>
          <w:headerReference r:id="rId19" w:type="first"/>
          <w:footerReference r:id="rId22" w:type="first"/>
          <w:headerReference r:id="rId17" w:type="default"/>
          <w:footerReference r:id="rId20" w:type="default"/>
          <w:headerReference r:id="rId18" w:type="even"/>
          <w:footerReference r:id="rId21" w:type="even"/>
          <w:pgSz w:w="11906" w:h="16838"/>
          <w:pgMar w:top="1985" w:right="1616" w:bottom="1814" w:left="1616" w:header="851" w:footer="1474" w:gutter="0"/>
          <w:cols w:space="720" w:num="1"/>
          <w:docGrid w:type="lines" w:linePitch="588" w:charSpace="0"/>
        </w:sectPr>
      </w:pPr>
    </w:p>
    <w:p>
      <w:pPr>
        <w:snapToGrid w:val="0"/>
        <w:ind w:firstLine="0" w:firstLineChars="0"/>
        <w:jc w:val="center"/>
        <w:rPr>
          <w:rFonts w:hint="eastAsia" w:ascii="方正小标宋_GBK" w:eastAsia="方正小标宋_GBK"/>
          <w:sz w:val="40"/>
          <w:szCs w:val="40"/>
        </w:rPr>
      </w:pPr>
    </w:p>
    <w:p>
      <w:pPr>
        <w:snapToGrid w:val="0"/>
        <w:ind w:firstLine="0" w:firstLineChars="0"/>
        <w:jc w:val="center"/>
        <w:rPr>
          <w:rFonts w:hint="eastAsia" w:ascii="方正小标宋_GBK" w:eastAsia="方正小标宋_GBK"/>
          <w:sz w:val="40"/>
          <w:szCs w:val="40"/>
        </w:rPr>
      </w:pPr>
      <w:r>
        <w:rPr>
          <w:rFonts w:hint="eastAsia" w:ascii="方正小标宋_GBK" w:eastAsia="方正小标宋_GBK"/>
          <w:sz w:val="40"/>
          <w:szCs w:val="40"/>
        </w:rPr>
        <w:t>20</w:t>
      </w:r>
      <w:r>
        <w:rPr>
          <w:rFonts w:hint="eastAsia" w:ascii="方正小标宋_GBK" w:eastAsia="方正小标宋_GBK"/>
          <w:sz w:val="40"/>
          <w:szCs w:val="40"/>
          <w:lang w:val="en-US" w:eastAsia="zh-CN"/>
        </w:rPr>
        <w:t>22</w:t>
      </w:r>
      <w:r>
        <w:rPr>
          <w:rFonts w:hint="eastAsia" w:ascii="方正小标宋_GBK" w:eastAsia="方正小标宋_GBK"/>
          <w:sz w:val="40"/>
          <w:szCs w:val="40"/>
        </w:rPr>
        <w:t>年</w:t>
      </w:r>
      <w:r>
        <w:rPr>
          <w:rFonts w:hint="eastAsia" w:ascii="方正小标宋_GBK" w:eastAsia="方正小标宋_GBK"/>
          <w:sz w:val="40"/>
          <w:szCs w:val="40"/>
          <w:lang w:eastAsia="zh-CN"/>
        </w:rPr>
        <w:t>城市燃气管道等老化更新改造中央基建投资预算</w:t>
      </w:r>
      <w:r>
        <w:rPr>
          <w:rFonts w:hint="eastAsia" w:ascii="方正小标宋_GBK" w:eastAsia="方正小标宋_GBK"/>
          <w:sz w:val="40"/>
          <w:szCs w:val="40"/>
        </w:rPr>
        <w:t>绩效目标表</w:t>
      </w:r>
    </w:p>
    <w:p>
      <w:pPr>
        <w:snapToGrid w:val="0"/>
        <w:ind w:firstLine="0" w:firstLineChars="0"/>
        <w:jc w:val="center"/>
        <w:rPr>
          <w:rFonts w:hint="eastAsia" w:ascii="方正小标宋_GBK" w:eastAsia="方正小标宋_GBK"/>
          <w:sz w:val="36"/>
          <w:szCs w:val="36"/>
          <w:lang w:eastAsia="zh-CN"/>
        </w:rPr>
      </w:pPr>
      <w:r>
        <w:rPr>
          <w:rFonts w:hint="eastAsia" w:ascii="方正小标宋_GBK" w:eastAsia="方正小标宋_GBK"/>
          <w:sz w:val="36"/>
          <w:szCs w:val="36"/>
          <w:lang w:eastAsia="zh-CN"/>
        </w:rPr>
        <w:t>（</w:t>
      </w:r>
      <w:r>
        <w:rPr>
          <w:rFonts w:hint="eastAsia" w:ascii="方正小标宋_GBK" w:eastAsia="方正小标宋_GBK"/>
          <w:b w:val="0"/>
          <w:bCs w:val="0"/>
          <w:sz w:val="32"/>
          <w:szCs w:val="32"/>
          <w:lang w:val="en-US" w:eastAsia="zh-CN"/>
        </w:rPr>
        <w:t>2022年度</w:t>
      </w:r>
      <w:r>
        <w:rPr>
          <w:rFonts w:hint="eastAsia" w:ascii="方正小标宋_GBK" w:eastAsia="方正小标宋_GBK"/>
          <w:sz w:val="36"/>
          <w:szCs w:val="36"/>
          <w:lang w:eastAsia="zh-CN"/>
        </w:rPr>
        <w:t>）</w:t>
      </w:r>
    </w:p>
    <w:tbl>
      <w:tblPr>
        <w:tblStyle w:val="4"/>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1726"/>
        <w:gridCol w:w="629"/>
        <w:gridCol w:w="625"/>
        <w:gridCol w:w="2660"/>
        <w:gridCol w:w="2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lang w:eastAsia="zh-CN"/>
              </w:rPr>
              <w:t>项目</w:t>
            </w:r>
            <w:r>
              <w:rPr>
                <w:color w:val="000000"/>
                <w:kern w:val="0"/>
                <w:sz w:val="21"/>
                <w:szCs w:val="21"/>
              </w:rPr>
              <w:t>名称</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大埔县城区居民燃气橡胶软管、加装燃气安全装置等老化更新改造项目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下达地方或单位</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梅州市发展改革局、住房城乡建设局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本次下达中央预算内投资（万元）</w:t>
            </w:r>
          </w:p>
        </w:tc>
        <w:tc>
          <w:tcPr>
            <w:tcW w:w="557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2" w:hRule="atLeast"/>
        </w:trPr>
        <w:tc>
          <w:tcPr>
            <w:tcW w:w="959" w:type="dxa"/>
            <w:tcBorders>
              <w:top w:val="nil"/>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总</w:t>
            </w:r>
            <w:r>
              <w:rPr>
                <w:color w:val="000000"/>
                <w:kern w:val="0"/>
                <w:sz w:val="21"/>
                <w:szCs w:val="21"/>
              </w:rPr>
              <w:br w:type="textWrapping"/>
            </w:r>
            <w:r>
              <w:rPr>
                <w:color w:val="000000"/>
                <w:kern w:val="0"/>
                <w:sz w:val="21"/>
                <w:szCs w:val="21"/>
              </w:rPr>
              <w:t>体</w:t>
            </w:r>
            <w:r>
              <w:rPr>
                <w:color w:val="000000"/>
                <w:kern w:val="0"/>
                <w:sz w:val="21"/>
                <w:szCs w:val="21"/>
              </w:rPr>
              <w:br w:type="textWrapping"/>
            </w:r>
            <w:r>
              <w:rPr>
                <w:color w:val="000000"/>
                <w:kern w:val="0"/>
                <w:sz w:val="21"/>
                <w:szCs w:val="21"/>
              </w:rPr>
              <w:t>目</w:t>
            </w:r>
            <w:r>
              <w:rPr>
                <w:color w:val="000000"/>
                <w:kern w:val="0"/>
                <w:sz w:val="21"/>
                <w:szCs w:val="21"/>
              </w:rPr>
              <w:br w:type="textWrapping"/>
            </w:r>
            <w:r>
              <w:rPr>
                <w:color w:val="000000"/>
                <w:kern w:val="0"/>
                <w:sz w:val="21"/>
                <w:szCs w:val="21"/>
              </w:rPr>
              <w:t>标</w:t>
            </w:r>
          </w:p>
        </w:tc>
        <w:tc>
          <w:tcPr>
            <w:tcW w:w="7931" w:type="dxa"/>
            <w:gridSpan w:val="5"/>
            <w:tcBorders>
              <w:top w:val="single" w:color="auto" w:sz="4" w:space="0"/>
              <w:left w:val="nil"/>
              <w:bottom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val="en-US" w:eastAsia="zh-CN"/>
              </w:rPr>
              <w:t xml:space="preserve">    </w:t>
            </w:r>
            <w:r>
              <w:rPr>
                <w:rFonts w:hint="eastAsia"/>
                <w:color w:val="000000"/>
                <w:kern w:val="0"/>
                <w:sz w:val="21"/>
                <w:szCs w:val="21"/>
                <w:lang w:eastAsia="zh-CN"/>
              </w:rPr>
              <w:t>按照《城市燃气管道等老化更新改造和保障性安居工程中央预算内投资专项管理暂行办法》有关</w:t>
            </w:r>
            <w:r>
              <w:rPr>
                <w:rFonts w:hint="eastAsia"/>
                <w:color w:val="000000"/>
                <w:kern w:val="0"/>
                <w:sz w:val="21"/>
                <w:szCs w:val="21"/>
                <w:lang w:val="en-US" w:eastAsia="zh-CN"/>
              </w:rPr>
              <w:t>规定，将</w:t>
            </w:r>
            <w:r>
              <w:rPr>
                <w:rFonts w:hint="eastAsia"/>
                <w:color w:val="000000"/>
                <w:kern w:val="0"/>
                <w:sz w:val="21"/>
                <w:szCs w:val="21"/>
                <w:lang w:eastAsia="zh-CN"/>
              </w:rPr>
              <w:t>城市燃气管道等老化更新改造专项中央预算内投资计划尽快分解下达</w:t>
            </w:r>
            <w:r>
              <w:rPr>
                <w:rFonts w:hint="eastAsia"/>
                <w:color w:val="000000"/>
                <w:kern w:val="0"/>
                <w:sz w:val="21"/>
                <w:szCs w:val="21"/>
                <w:lang w:val="en-US" w:eastAsia="zh-CN"/>
              </w:rPr>
              <w:t>,用于更新改造材质落后、使用年限较长、运行环境存在安全隐患,不符合相关标准规范规定的城市燃气、供水、排水、供热等老化管道和设施。</w:t>
            </w:r>
            <w:r>
              <w:rPr>
                <w:color w:val="000000"/>
                <w:kern w:val="0"/>
                <w:sz w:val="21"/>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959" w:type="dxa"/>
            <w:vMerge w:val="restart"/>
            <w:tcBorders>
              <w:top w:val="nil"/>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绩</w:t>
            </w:r>
            <w:r>
              <w:rPr>
                <w:color w:val="000000"/>
                <w:kern w:val="0"/>
                <w:sz w:val="21"/>
                <w:szCs w:val="21"/>
              </w:rPr>
              <w:br w:type="textWrapping"/>
            </w:r>
            <w:r>
              <w:rPr>
                <w:color w:val="000000"/>
                <w:kern w:val="0"/>
                <w:sz w:val="21"/>
                <w:szCs w:val="21"/>
              </w:rPr>
              <w:t>效</w:t>
            </w:r>
            <w:r>
              <w:rPr>
                <w:color w:val="000000"/>
                <w:kern w:val="0"/>
                <w:sz w:val="21"/>
                <w:szCs w:val="21"/>
              </w:rPr>
              <w:br w:type="textWrapping"/>
            </w:r>
            <w:r>
              <w:rPr>
                <w:color w:val="000000"/>
                <w:kern w:val="0"/>
                <w:sz w:val="21"/>
                <w:szCs w:val="21"/>
              </w:rPr>
              <w:t>指</w:t>
            </w:r>
            <w:r>
              <w:rPr>
                <w:color w:val="000000"/>
                <w:kern w:val="0"/>
                <w:sz w:val="21"/>
                <w:szCs w:val="21"/>
              </w:rPr>
              <w:br w:type="textWrapping"/>
            </w:r>
            <w:r>
              <w:rPr>
                <w:color w:val="000000"/>
                <w:kern w:val="0"/>
                <w:sz w:val="21"/>
                <w:szCs w:val="21"/>
              </w:rPr>
              <w:t>标</w:t>
            </w:r>
          </w:p>
        </w:tc>
        <w:tc>
          <w:tcPr>
            <w:tcW w:w="1726"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一级指标</w:t>
            </w:r>
          </w:p>
        </w:tc>
        <w:tc>
          <w:tcPr>
            <w:tcW w:w="1254" w:type="dxa"/>
            <w:gridSpan w:val="2"/>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二级指标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三级指标</w:t>
            </w:r>
          </w:p>
        </w:tc>
        <w:tc>
          <w:tcPr>
            <w:tcW w:w="2291"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left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eastAsia="zh-CN"/>
              </w:rPr>
              <w:t>实施效果指标</w:t>
            </w:r>
          </w:p>
        </w:tc>
        <w:tc>
          <w:tcPr>
            <w:tcW w:w="1254" w:type="dxa"/>
            <w:gridSpan w:val="2"/>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产出指标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下达中央预算内投资</w:t>
            </w:r>
          </w:p>
        </w:tc>
        <w:tc>
          <w:tcPr>
            <w:tcW w:w="2291" w:type="dxa"/>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493万元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效益指标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提高群众获得感、幸福感</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eastAsia="zh-CN"/>
              </w:rPr>
            </w:pPr>
            <w:r>
              <w:rPr>
                <w:rFonts w:hint="eastAsia"/>
                <w:color w:val="000000"/>
                <w:kern w:val="0"/>
                <w:sz w:val="21"/>
                <w:szCs w:val="21"/>
                <w:lang w:eastAsia="zh-CN"/>
              </w:rPr>
              <w:t>满意度指标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eastAsia="zh-CN"/>
              </w:rPr>
              <w:t>居民满意度</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过程管理指标</w:t>
            </w:r>
          </w:p>
          <w:p>
            <w:pPr>
              <w:snapToGrid w:val="0"/>
              <w:ind w:firstLine="320"/>
              <w:contextualSpacing/>
              <w:jc w:val="center"/>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计划管理指标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投资计划分解（转发）用时达标率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“两个责任”按项目落实到位率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spacing w:val="-16"/>
                <w:kern w:val="0"/>
                <w:sz w:val="21"/>
                <w:szCs w:val="21"/>
                <w:lang w:val="en-US" w:eastAsia="zh-CN"/>
              </w:rPr>
            </w:pPr>
            <w:r>
              <w:rPr>
                <w:rFonts w:hint="eastAsia"/>
                <w:color w:val="000000"/>
                <w:spacing w:val="-16"/>
                <w:kern w:val="0"/>
                <w:sz w:val="21"/>
                <w:szCs w:val="21"/>
                <w:lang w:val="en-US" w:eastAsia="zh-CN"/>
              </w:rPr>
              <w:t>资金管理指标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中央预算内投资支付率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年度计划投资完成率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项目管理指标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项目开工率</w:t>
            </w:r>
          </w:p>
        </w:tc>
        <w:tc>
          <w:tcPr>
            <w:tcW w:w="2291" w:type="dxa"/>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959"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超规模、超标准、超概算项目比例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959"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监督检查指标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审计、督查、巡视等指出问题项目比例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w:t>
            </w:r>
          </w:p>
        </w:tc>
      </w:tr>
    </w:tbl>
    <w:p>
      <w:pPr>
        <w:snapToGrid w:val="0"/>
        <w:spacing w:line="240" w:lineRule="auto"/>
        <w:ind w:left="0" w:leftChars="0" w:firstLine="0" w:firstLineChars="0"/>
        <w:contextualSpacing/>
        <w:textAlignment w:val="auto"/>
        <w:rPr>
          <w:rFonts w:hint="eastAsia"/>
          <w:color w:val="000000"/>
          <w:kern w:val="0"/>
          <w:sz w:val="16"/>
          <w:szCs w:val="16"/>
        </w:rPr>
      </w:pPr>
    </w:p>
    <w:p>
      <w:pPr>
        <w:snapToGrid w:val="0"/>
        <w:spacing w:line="240" w:lineRule="auto"/>
        <w:ind w:left="0" w:leftChars="0" w:firstLine="0" w:firstLineChars="0"/>
        <w:contextualSpacing/>
        <w:textAlignment w:val="auto"/>
        <w:rPr>
          <w:rFonts w:hint="eastAsia"/>
          <w:color w:val="000000"/>
          <w:kern w:val="0"/>
          <w:sz w:val="16"/>
          <w:szCs w:val="16"/>
        </w:rPr>
        <w:sectPr>
          <w:headerReference r:id="rId25" w:type="first"/>
          <w:footerReference r:id="rId28" w:type="first"/>
          <w:headerReference r:id="rId23" w:type="default"/>
          <w:footerReference r:id="rId26" w:type="default"/>
          <w:headerReference r:id="rId24" w:type="even"/>
          <w:footerReference r:id="rId27" w:type="even"/>
          <w:pgSz w:w="11906" w:h="16838"/>
          <w:pgMar w:top="1985" w:right="1616" w:bottom="1814" w:left="1616" w:header="851" w:footer="1474" w:gutter="0"/>
          <w:cols w:space="720" w:num="1"/>
          <w:docGrid w:type="lines" w:linePitch="588" w:charSpace="0"/>
        </w:sectPr>
      </w:pPr>
    </w:p>
    <w:p>
      <w:pPr>
        <w:snapToGrid w:val="0"/>
        <w:ind w:firstLine="0" w:firstLineChars="0"/>
        <w:jc w:val="center"/>
        <w:rPr>
          <w:rFonts w:hint="eastAsia" w:ascii="方正小标宋_GBK" w:eastAsia="方正小标宋_GBK"/>
          <w:sz w:val="40"/>
          <w:szCs w:val="40"/>
        </w:rPr>
      </w:pPr>
    </w:p>
    <w:p>
      <w:pPr>
        <w:snapToGrid w:val="0"/>
        <w:ind w:firstLine="0" w:firstLineChars="0"/>
        <w:jc w:val="center"/>
        <w:rPr>
          <w:rFonts w:hint="eastAsia" w:ascii="方正小标宋_GBK" w:eastAsia="方正小标宋_GBK"/>
          <w:sz w:val="40"/>
          <w:szCs w:val="40"/>
        </w:rPr>
      </w:pPr>
      <w:r>
        <w:rPr>
          <w:rFonts w:hint="eastAsia" w:ascii="方正小标宋_GBK" w:eastAsia="方正小标宋_GBK"/>
          <w:sz w:val="40"/>
          <w:szCs w:val="40"/>
        </w:rPr>
        <w:t>20</w:t>
      </w:r>
      <w:r>
        <w:rPr>
          <w:rFonts w:hint="eastAsia" w:ascii="方正小标宋_GBK" w:eastAsia="方正小标宋_GBK"/>
          <w:sz w:val="40"/>
          <w:szCs w:val="40"/>
          <w:lang w:val="en-US" w:eastAsia="zh-CN"/>
        </w:rPr>
        <w:t>22</w:t>
      </w:r>
      <w:r>
        <w:rPr>
          <w:rFonts w:hint="eastAsia" w:ascii="方正小标宋_GBK" w:eastAsia="方正小标宋_GBK"/>
          <w:sz w:val="40"/>
          <w:szCs w:val="40"/>
        </w:rPr>
        <w:t>年</w:t>
      </w:r>
      <w:r>
        <w:rPr>
          <w:rFonts w:hint="eastAsia" w:ascii="方正小标宋_GBK" w:eastAsia="方正小标宋_GBK"/>
          <w:sz w:val="40"/>
          <w:szCs w:val="40"/>
          <w:lang w:eastAsia="zh-CN"/>
        </w:rPr>
        <w:t>城市燃气管道等老化更新改造中央基建投资预算</w:t>
      </w:r>
      <w:r>
        <w:rPr>
          <w:rFonts w:hint="eastAsia" w:ascii="方正小标宋_GBK" w:eastAsia="方正小标宋_GBK"/>
          <w:sz w:val="40"/>
          <w:szCs w:val="40"/>
        </w:rPr>
        <w:t>绩效目标表</w:t>
      </w:r>
    </w:p>
    <w:p>
      <w:pPr>
        <w:snapToGrid w:val="0"/>
        <w:ind w:firstLine="0" w:firstLineChars="0"/>
        <w:jc w:val="center"/>
        <w:rPr>
          <w:rFonts w:hint="eastAsia" w:ascii="方正小标宋_GBK" w:eastAsia="方正小标宋_GBK"/>
          <w:sz w:val="36"/>
          <w:szCs w:val="36"/>
          <w:lang w:eastAsia="zh-CN"/>
        </w:rPr>
      </w:pPr>
      <w:r>
        <w:rPr>
          <w:rFonts w:hint="eastAsia" w:ascii="方正小标宋_GBK" w:eastAsia="方正小标宋_GBK"/>
          <w:sz w:val="36"/>
          <w:szCs w:val="36"/>
          <w:lang w:eastAsia="zh-CN"/>
        </w:rPr>
        <w:t>（</w:t>
      </w:r>
      <w:r>
        <w:rPr>
          <w:rFonts w:hint="eastAsia" w:ascii="方正小标宋_GBK" w:eastAsia="方正小标宋_GBK"/>
          <w:b w:val="0"/>
          <w:bCs w:val="0"/>
          <w:sz w:val="32"/>
          <w:szCs w:val="32"/>
          <w:lang w:val="en-US" w:eastAsia="zh-CN"/>
        </w:rPr>
        <w:t>2022年度</w:t>
      </w:r>
      <w:r>
        <w:rPr>
          <w:rFonts w:hint="eastAsia" w:ascii="方正小标宋_GBK" w:eastAsia="方正小标宋_GBK"/>
          <w:sz w:val="36"/>
          <w:szCs w:val="36"/>
          <w:lang w:eastAsia="zh-CN"/>
        </w:rPr>
        <w:t>）</w:t>
      </w:r>
    </w:p>
    <w:tbl>
      <w:tblPr>
        <w:tblStyle w:val="4"/>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1726"/>
        <w:gridCol w:w="629"/>
        <w:gridCol w:w="625"/>
        <w:gridCol w:w="2660"/>
        <w:gridCol w:w="2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lang w:eastAsia="zh-CN"/>
              </w:rPr>
              <w:t>项目</w:t>
            </w:r>
            <w:r>
              <w:rPr>
                <w:color w:val="000000"/>
                <w:kern w:val="0"/>
                <w:sz w:val="21"/>
                <w:szCs w:val="21"/>
              </w:rPr>
              <w:t>名称</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丰顺县城区居民燃气橡胶软管、加装燃气安全装置等老化更新改造项目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下达地方或单位</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梅州市发展改革局、住房城乡建设局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本次下达中央预算内投资（万元）</w:t>
            </w:r>
          </w:p>
        </w:tc>
        <w:tc>
          <w:tcPr>
            <w:tcW w:w="557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2" w:hRule="atLeast"/>
        </w:trPr>
        <w:tc>
          <w:tcPr>
            <w:tcW w:w="959" w:type="dxa"/>
            <w:tcBorders>
              <w:top w:val="nil"/>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总</w:t>
            </w:r>
            <w:r>
              <w:rPr>
                <w:color w:val="000000"/>
                <w:kern w:val="0"/>
                <w:sz w:val="21"/>
                <w:szCs w:val="21"/>
              </w:rPr>
              <w:br w:type="textWrapping"/>
            </w:r>
            <w:r>
              <w:rPr>
                <w:color w:val="000000"/>
                <w:kern w:val="0"/>
                <w:sz w:val="21"/>
                <w:szCs w:val="21"/>
              </w:rPr>
              <w:t>体</w:t>
            </w:r>
            <w:r>
              <w:rPr>
                <w:color w:val="000000"/>
                <w:kern w:val="0"/>
                <w:sz w:val="21"/>
                <w:szCs w:val="21"/>
              </w:rPr>
              <w:br w:type="textWrapping"/>
            </w:r>
            <w:r>
              <w:rPr>
                <w:color w:val="000000"/>
                <w:kern w:val="0"/>
                <w:sz w:val="21"/>
                <w:szCs w:val="21"/>
              </w:rPr>
              <w:t>目</w:t>
            </w:r>
            <w:r>
              <w:rPr>
                <w:color w:val="000000"/>
                <w:kern w:val="0"/>
                <w:sz w:val="21"/>
                <w:szCs w:val="21"/>
              </w:rPr>
              <w:br w:type="textWrapping"/>
            </w:r>
            <w:r>
              <w:rPr>
                <w:color w:val="000000"/>
                <w:kern w:val="0"/>
                <w:sz w:val="21"/>
                <w:szCs w:val="21"/>
              </w:rPr>
              <w:t>标</w:t>
            </w:r>
          </w:p>
        </w:tc>
        <w:tc>
          <w:tcPr>
            <w:tcW w:w="7931" w:type="dxa"/>
            <w:gridSpan w:val="5"/>
            <w:tcBorders>
              <w:top w:val="single" w:color="auto" w:sz="4" w:space="0"/>
              <w:left w:val="nil"/>
              <w:bottom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val="en-US" w:eastAsia="zh-CN"/>
              </w:rPr>
              <w:t xml:space="preserve">    </w:t>
            </w:r>
            <w:r>
              <w:rPr>
                <w:rFonts w:hint="eastAsia"/>
                <w:color w:val="000000"/>
                <w:kern w:val="0"/>
                <w:sz w:val="21"/>
                <w:szCs w:val="21"/>
                <w:lang w:eastAsia="zh-CN"/>
              </w:rPr>
              <w:t>按照《城市燃气管道等老化更新改造和保障性安居工程中央预算内投资专项管理暂行办法》有关</w:t>
            </w:r>
            <w:r>
              <w:rPr>
                <w:rFonts w:hint="eastAsia"/>
                <w:color w:val="000000"/>
                <w:kern w:val="0"/>
                <w:sz w:val="21"/>
                <w:szCs w:val="21"/>
                <w:lang w:val="en-US" w:eastAsia="zh-CN"/>
              </w:rPr>
              <w:t>规定，将</w:t>
            </w:r>
            <w:r>
              <w:rPr>
                <w:rFonts w:hint="eastAsia"/>
                <w:color w:val="000000"/>
                <w:kern w:val="0"/>
                <w:sz w:val="21"/>
                <w:szCs w:val="21"/>
                <w:lang w:eastAsia="zh-CN"/>
              </w:rPr>
              <w:t>城市燃气管道等老化更新改造专项中央预算内投资计划尽快分解下达</w:t>
            </w:r>
            <w:r>
              <w:rPr>
                <w:rFonts w:hint="eastAsia"/>
                <w:color w:val="000000"/>
                <w:kern w:val="0"/>
                <w:sz w:val="21"/>
                <w:szCs w:val="21"/>
                <w:lang w:val="en-US" w:eastAsia="zh-CN"/>
              </w:rPr>
              <w:t>,用于更新改造材质落后、使用年限较长、运行环境存在安全隐患,不符合相关标准规范规定的城市燃气、供水、排水、供热等老化管道和设施。</w:t>
            </w:r>
            <w:r>
              <w:rPr>
                <w:color w:val="000000"/>
                <w:kern w:val="0"/>
                <w:sz w:val="21"/>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959" w:type="dxa"/>
            <w:vMerge w:val="restart"/>
            <w:tcBorders>
              <w:top w:val="nil"/>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绩</w:t>
            </w:r>
            <w:r>
              <w:rPr>
                <w:color w:val="000000"/>
                <w:kern w:val="0"/>
                <w:sz w:val="21"/>
                <w:szCs w:val="21"/>
              </w:rPr>
              <w:br w:type="textWrapping"/>
            </w:r>
            <w:r>
              <w:rPr>
                <w:color w:val="000000"/>
                <w:kern w:val="0"/>
                <w:sz w:val="21"/>
                <w:szCs w:val="21"/>
              </w:rPr>
              <w:t>效</w:t>
            </w:r>
            <w:r>
              <w:rPr>
                <w:color w:val="000000"/>
                <w:kern w:val="0"/>
                <w:sz w:val="21"/>
                <w:szCs w:val="21"/>
              </w:rPr>
              <w:br w:type="textWrapping"/>
            </w:r>
            <w:r>
              <w:rPr>
                <w:color w:val="000000"/>
                <w:kern w:val="0"/>
                <w:sz w:val="21"/>
                <w:szCs w:val="21"/>
              </w:rPr>
              <w:t>指</w:t>
            </w:r>
            <w:r>
              <w:rPr>
                <w:color w:val="000000"/>
                <w:kern w:val="0"/>
                <w:sz w:val="21"/>
                <w:szCs w:val="21"/>
              </w:rPr>
              <w:br w:type="textWrapping"/>
            </w:r>
            <w:r>
              <w:rPr>
                <w:color w:val="000000"/>
                <w:kern w:val="0"/>
                <w:sz w:val="21"/>
                <w:szCs w:val="21"/>
              </w:rPr>
              <w:t>标</w:t>
            </w:r>
          </w:p>
        </w:tc>
        <w:tc>
          <w:tcPr>
            <w:tcW w:w="1726"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一级指标</w:t>
            </w:r>
          </w:p>
        </w:tc>
        <w:tc>
          <w:tcPr>
            <w:tcW w:w="1254" w:type="dxa"/>
            <w:gridSpan w:val="2"/>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二级指标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三级指标</w:t>
            </w:r>
          </w:p>
        </w:tc>
        <w:tc>
          <w:tcPr>
            <w:tcW w:w="2291"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left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eastAsia="zh-CN"/>
              </w:rPr>
              <w:t>实施效果指标</w:t>
            </w:r>
          </w:p>
        </w:tc>
        <w:tc>
          <w:tcPr>
            <w:tcW w:w="1254" w:type="dxa"/>
            <w:gridSpan w:val="2"/>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产出指标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下达中央预算内投资</w:t>
            </w:r>
          </w:p>
        </w:tc>
        <w:tc>
          <w:tcPr>
            <w:tcW w:w="2291" w:type="dxa"/>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506万元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效益指标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提高群众获得感、幸福感</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eastAsia="zh-CN"/>
              </w:rPr>
            </w:pPr>
            <w:r>
              <w:rPr>
                <w:rFonts w:hint="eastAsia"/>
                <w:color w:val="000000"/>
                <w:kern w:val="0"/>
                <w:sz w:val="21"/>
                <w:szCs w:val="21"/>
                <w:lang w:eastAsia="zh-CN"/>
              </w:rPr>
              <w:t>满意度指标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eastAsia="zh-CN"/>
              </w:rPr>
              <w:t>居民满意度</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过程管理指标</w:t>
            </w:r>
          </w:p>
          <w:p>
            <w:pPr>
              <w:snapToGrid w:val="0"/>
              <w:ind w:firstLine="320"/>
              <w:contextualSpacing/>
              <w:jc w:val="center"/>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计划管理指标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投资计划分解（转发）用时达标率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“两个责任”按项目落实到位率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spacing w:val="-16"/>
                <w:kern w:val="0"/>
                <w:sz w:val="21"/>
                <w:szCs w:val="21"/>
                <w:lang w:val="en-US" w:eastAsia="zh-CN"/>
              </w:rPr>
            </w:pPr>
            <w:r>
              <w:rPr>
                <w:rFonts w:hint="eastAsia"/>
                <w:color w:val="000000"/>
                <w:spacing w:val="-16"/>
                <w:kern w:val="0"/>
                <w:sz w:val="21"/>
                <w:szCs w:val="21"/>
                <w:lang w:val="en-US" w:eastAsia="zh-CN"/>
              </w:rPr>
              <w:t>资金管理指标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中央预算内投资支付率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年度计划投资完成率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项目管理指标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项目开工率</w:t>
            </w:r>
          </w:p>
        </w:tc>
        <w:tc>
          <w:tcPr>
            <w:tcW w:w="2291" w:type="dxa"/>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959"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超规模、超标准、超概算项目比例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959"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监督检查指标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审计、督查、巡视等指出问题项目比例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w:t>
            </w:r>
          </w:p>
        </w:tc>
      </w:tr>
    </w:tbl>
    <w:p>
      <w:pPr>
        <w:snapToGrid w:val="0"/>
        <w:spacing w:line="240" w:lineRule="auto"/>
        <w:ind w:left="0" w:leftChars="0" w:firstLine="0" w:firstLineChars="0"/>
        <w:contextualSpacing/>
        <w:textAlignment w:val="auto"/>
        <w:rPr>
          <w:rFonts w:hint="eastAsia"/>
          <w:color w:val="000000"/>
          <w:kern w:val="0"/>
          <w:sz w:val="16"/>
          <w:szCs w:val="16"/>
        </w:rPr>
      </w:pPr>
    </w:p>
    <w:p>
      <w:pPr>
        <w:snapToGrid w:val="0"/>
        <w:spacing w:line="240" w:lineRule="auto"/>
        <w:ind w:left="0" w:leftChars="0" w:firstLine="0" w:firstLineChars="0"/>
        <w:contextualSpacing/>
        <w:textAlignment w:val="auto"/>
        <w:rPr>
          <w:rFonts w:hint="eastAsia"/>
          <w:color w:val="000000"/>
          <w:kern w:val="0"/>
          <w:sz w:val="16"/>
          <w:szCs w:val="16"/>
        </w:rPr>
        <w:sectPr>
          <w:headerReference r:id="rId31" w:type="first"/>
          <w:footerReference r:id="rId34" w:type="first"/>
          <w:headerReference r:id="rId29" w:type="default"/>
          <w:footerReference r:id="rId32" w:type="default"/>
          <w:headerReference r:id="rId30" w:type="even"/>
          <w:footerReference r:id="rId33" w:type="even"/>
          <w:pgSz w:w="11906" w:h="16838"/>
          <w:pgMar w:top="1985" w:right="1616" w:bottom="1814" w:left="1616" w:header="851" w:footer="1474" w:gutter="0"/>
          <w:cols w:space="720" w:num="1"/>
          <w:docGrid w:type="lines" w:linePitch="588" w:charSpace="0"/>
        </w:sectPr>
      </w:pPr>
    </w:p>
    <w:p>
      <w:pPr>
        <w:snapToGrid w:val="0"/>
        <w:ind w:firstLine="0" w:firstLineChars="0"/>
        <w:jc w:val="center"/>
        <w:rPr>
          <w:rFonts w:hint="eastAsia" w:ascii="方正小标宋_GBK" w:eastAsia="方正小标宋_GBK"/>
          <w:sz w:val="40"/>
          <w:szCs w:val="40"/>
        </w:rPr>
      </w:pPr>
    </w:p>
    <w:p>
      <w:pPr>
        <w:snapToGrid w:val="0"/>
        <w:ind w:firstLine="0" w:firstLineChars="0"/>
        <w:jc w:val="center"/>
        <w:rPr>
          <w:rFonts w:hint="eastAsia" w:ascii="方正小标宋_GBK" w:eastAsia="方正小标宋_GBK"/>
          <w:sz w:val="40"/>
          <w:szCs w:val="40"/>
        </w:rPr>
      </w:pPr>
      <w:r>
        <w:rPr>
          <w:rFonts w:hint="eastAsia" w:ascii="方正小标宋_GBK" w:eastAsia="方正小标宋_GBK"/>
          <w:sz w:val="40"/>
          <w:szCs w:val="40"/>
        </w:rPr>
        <w:t>20</w:t>
      </w:r>
      <w:r>
        <w:rPr>
          <w:rFonts w:hint="eastAsia" w:ascii="方正小标宋_GBK" w:eastAsia="方正小标宋_GBK"/>
          <w:sz w:val="40"/>
          <w:szCs w:val="40"/>
          <w:lang w:val="en-US" w:eastAsia="zh-CN"/>
        </w:rPr>
        <w:t>22</w:t>
      </w:r>
      <w:r>
        <w:rPr>
          <w:rFonts w:hint="eastAsia" w:ascii="方正小标宋_GBK" w:eastAsia="方正小标宋_GBK"/>
          <w:sz w:val="40"/>
          <w:szCs w:val="40"/>
        </w:rPr>
        <w:t>年</w:t>
      </w:r>
      <w:r>
        <w:rPr>
          <w:rFonts w:hint="eastAsia" w:ascii="方正小标宋_GBK" w:eastAsia="方正小标宋_GBK"/>
          <w:sz w:val="40"/>
          <w:szCs w:val="40"/>
          <w:lang w:eastAsia="zh-CN"/>
        </w:rPr>
        <w:t>城市燃气管道等老化更新改造中央基建投资预算</w:t>
      </w:r>
      <w:r>
        <w:rPr>
          <w:rFonts w:hint="eastAsia" w:ascii="方正小标宋_GBK" w:eastAsia="方正小标宋_GBK"/>
          <w:sz w:val="40"/>
          <w:szCs w:val="40"/>
        </w:rPr>
        <w:t>绩效目标表</w:t>
      </w:r>
    </w:p>
    <w:p>
      <w:pPr>
        <w:snapToGrid w:val="0"/>
        <w:ind w:firstLine="0" w:firstLineChars="0"/>
        <w:jc w:val="center"/>
        <w:rPr>
          <w:rFonts w:hint="eastAsia" w:ascii="方正小标宋_GBK" w:eastAsia="方正小标宋_GBK"/>
          <w:sz w:val="36"/>
          <w:szCs w:val="36"/>
          <w:lang w:eastAsia="zh-CN"/>
        </w:rPr>
      </w:pPr>
      <w:r>
        <w:rPr>
          <w:rFonts w:hint="eastAsia" w:ascii="方正小标宋_GBK" w:eastAsia="方正小标宋_GBK"/>
          <w:sz w:val="36"/>
          <w:szCs w:val="36"/>
          <w:lang w:eastAsia="zh-CN"/>
        </w:rPr>
        <w:t>（</w:t>
      </w:r>
      <w:r>
        <w:rPr>
          <w:rFonts w:hint="eastAsia" w:ascii="方正小标宋_GBK" w:eastAsia="方正小标宋_GBK"/>
          <w:b w:val="0"/>
          <w:bCs w:val="0"/>
          <w:sz w:val="32"/>
          <w:szCs w:val="32"/>
          <w:lang w:val="en-US" w:eastAsia="zh-CN"/>
        </w:rPr>
        <w:t>2022年度</w:t>
      </w:r>
      <w:r>
        <w:rPr>
          <w:rFonts w:hint="eastAsia" w:ascii="方正小标宋_GBK" w:eastAsia="方正小标宋_GBK"/>
          <w:sz w:val="36"/>
          <w:szCs w:val="36"/>
          <w:lang w:eastAsia="zh-CN"/>
        </w:rPr>
        <w:t>）</w:t>
      </w:r>
    </w:p>
    <w:tbl>
      <w:tblPr>
        <w:tblStyle w:val="4"/>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1726"/>
        <w:gridCol w:w="629"/>
        <w:gridCol w:w="625"/>
        <w:gridCol w:w="2660"/>
        <w:gridCol w:w="2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lang w:eastAsia="zh-CN"/>
              </w:rPr>
              <w:t>项目</w:t>
            </w:r>
            <w:r>
              <w:rPr>
                <w:color w:val="000000"/>
                <w:kern w:val="0"/>
                <w:sz w:val="21"/>
                <w:szCs w:val="21"/>
              </w:rPr>
              <w:t>名称</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湛江市城市燃气管道老化更新改造项目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下达地方或单位</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湛江市发展改革局、住房城乡建设局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本次下达中央预算内投资（万元）</w:t>
            </w:r>
          </w:p>
        </w:tc>
        <w:tc>
          <w:tcPr>
            <w:tcW w:w="557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2" w:hRule="atLeast"/>
        </w:trPr>
        <w:tc>
          <w:tcPr>
            <w:tcW w:w="959" w:type="dxa"/>
            <w:tcBorders>
              <w:top w:val="nil"/>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总</w:t>
            </w:r>
            <w:r>
              <w:rPr>
                <w:color w:val="000000"/>
                <w:kern w:val="0"/>
                <w:sz w:val="21"/>
                <w:szCs w:val="21"/>
              </w:rPr>
              <w:br w:type="textWrapping"/>
            </w:r>
            <w:r>
              <w:rPr>
                <w:color w:val="000000"/>
                <w:kern w:val="0"/>
                <w:sz w:val="21"/>
                <w:szCs w:val="21"/>
              </w:rPr>
              <w:t>体</w:t>
            </w:r>
            <w:r>
              <w:rPr>
                <w:color w:val="000000"/>
                <w:kern w:val="0"/>
                <w:sz w:val="21"/>
                <w:szCs w:val="21"/>
              </w:rPr>
              <w:br w:type="textWrapping"/>
            </w:r>
            <w:r>
              <w:rPr>
                <w:color w:val="000000"/>
                <w:kern w:val="0"/>
                <w:sz w:val="21"/>
                <w:szCs w:val="21"/>
              </w:rPr>
              <w:t>目</w:t>
            </w:r>
            <w:r>
              <w:rPr>
                <w:color w:val="000000"/>
                <w:kern w:val="0"/>
                <w:sz w:val="21"/>
                <w:szCs w:val="21"/>
              </w:rPr>
              <w:br w:type="textWrapping"/>
            </w:r>
            <w:r>
              <w:rPr>
                <w:color w:val="000000"/>
                <w:kern w:val="0"/>
                <w:sz w:val="21"/>
                <w:szCs w:val="21"/>
              </w:rPr>
              <w:t>标</w:t>
            </w:r>
          </w:p>
        </w:tc>
        <w:tc>
          <w:tcPr>
            <w:tcW w:w="7931" w:type="dxa"/>
            <w:gridSpan w:val="5"/>
            <w:tcBorders>
              <w:top w:val="single" w:color="auto" w:sz="4" w:space="0"/>
              <w:left w:val="nil"/>
              <w:bottom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val="en-US" w:eastAsia="zh-CN"/>
              </w:rPr>
              <w:t xml:space="preserve">     </w:t>
            </w:r>
            <w:r>
              <w:rPr>
                <w:rFonts w:hint="eastAsia"/>
                <w:color w:val="000000"/>
                <w:kern w:val="0"/>
                <w:sz w:val="21"/>
                <w:szCs w:val="21"/>
                <w:lang w:eastAsia="zh-CN"/>
              </w:rPr>
              <w:t>按照《城市燃气管道等老化更新改造和保障性安居工程中央预算内投资专项管理暂行办法》有关</w:t>
            </w:r>
            <w:r>
              <w:rPr>
                <w:rFonts w:hint="eastAsia"/>
                <w:color w:val="000000"/>
                <w:kern w:val="0"/>
                <w:sz w:val="21"/>
                <w:szCs w:val="21"/>
                <w:lang w:val="en-US" w:eastAsia="zh-CN"/>
              </w:rPr>
              <w:t>规定，将</w:t>
            </w:r>
            <w:r>
              <w:rPr>
                <w:rFonts w:hint="eastAsia"/>
                <w:color w:val="000000"/>
                <w:kern w:val="0"/>
                <w:sz w:val="21"/>
                <w:szCs w:val="21"/>
                <w:lang w:eastAsia="zh-CN"/>
              </w:rPr>
              <w:t>城市燃气管道等老化更新改造专项中央预算内投资计划尽快分解下达</w:t>
            </w:r>
            <w:r>
              <w:rPr>
                <w:rFonts w:hint="eastAsia"/>
                <w:color w:val="000000"/>
                <w:kern w:val="0"/>
                <w:sz w:val="21"/>
                <w:szCs w:val="21"/>
                <w:lang w:val="en-US" w:eastAsia="zh-CN"/>
              </w:rPr>
              <w:t>,用于更新改造材质落后、使用年限较长、运行环境存在安全隐患,不符合相关标准规范规定的城市燃气、供水、排水、供热等老化管道和设施。</w:t>
            </w:r>
            <w:r>
              <w:rPr>
                <w:color w:val="000000"/>
                <w:kern w:val="0"/>
                <w:sz w:val="21"/>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959" w:type="dxa"/>
            <w:vMerge w:val="restart"/>
            <w:tcBorders>
              <w:top w:val="nil"/>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绩</w:t>
            </w:r>
            <w:r>
              <w:rPr>
                <w:color w:val="000000"/>
                <w:kern w:val="0"/>
                <w:sz w:val="21"/>
                <w:szCs w:val="21"/>
              </w:rPr>
              <w:br w:type="textWrapping"/>
            </w:r>
            <w:r>
              <w:rPr>
                <w:color w:val="000000"/>
                <w:kern w:val="0"/>
                <w:sz w:val="21"/>
                <w:szCs w:val="21"/>
              </w:rPr>
              <w:t>效</w:t>
            </w:r>
            <w:r>
              <w:rPr>
                <w:color w:val="000000"/>
                <w:kern w:val="0"/>
                <w:sz w:val="21"/>
                <w:szCs w:val="21"/>
              </w:rPr>
              <w:br w:type="textWrapping"/>
            </w:r>
            <w:r>
              <w:rPr>
                <w:color w:val="000000"/>
                <w:kern w:val="0"/>
                <w:sz w:val="21"/>
                <w:szCs w:val="21"/>
              </w:rPr>
              <w:t>指</w:t>
            </w:r>
            <w:r>
              <w:rPr>
                <w:color w:val="000000"/>
                <w:kern w:val="0"/>
                <w:sz w:val="21"/>
                <w:szCs w:val="21"/>
              </w:rPr>
              <w:br w:type="textWrapping"/>
            </w:r>
            <w:r>
              <w:rPr>
                <w:color w:val="000000"/>
                <w:kern w:val="0"/>
                <w:sz w:val="21"/>
                <w:szCs w:val="21"/>
              </w:rPr>
              <w:t>标</w:t>
            </w:r>
          </w:p>
        </w:tc>
        <w:tc>
          <w:tcPr>
            <w:tcW w:w="1726"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一级指标</w:t>
            </w:r>
          </w:p>
        </w:tc>
        <w:tc>
          <w:tcPr>
            <w:tcW w:w="1254" w:type="dxa"/>
            <w:gridSpan w:val="2"/>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二级指标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三级指标</w:t>
            </w:r>
          </w:p>
        </w:tc>
        <w:tc>
          <w:tcPr>
            <w:tcW w:w="2291"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left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eastAsia="zh-CN"/>
              </w:rPr>
              <w:t>实施效果指标</w:t>
            </w:r>
          </w:p>
        </w:tc>
        <w:tc>
          <w:tcPr>
            <w:tcW w:w="1254" w:type="dxa"/>
            <w:gridSpan w:val="2"/>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产出指标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下达中央预算内投资</w:t>
            </w:r>
          </w:p>
        </w:tc>
        <w:tc>
          <w:tcPr>
            <w:tcW w:w="2291" w:type="dxa"/>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273万元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效益指标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提高群众获得感、幸福感</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eastAsia="zh-CN"/>
              </w:rPr>
            </w:pPr>
            <w:r>
              <w:rPr>
                <w:rFonts w:hint="eastAsia"/>
                <w:color w:val="000000"/>
                <w:kern w:val="0"/>
                <w:sz w:val="21"/>
                <w:szCs w:val="21"/>
                <w:lang w:eastAsia="zh-CN"/>
              </w:rPr>
              <w:t>满意度指标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eastAsia="zh-CN"/>
              </w:rPr>
              <w:t>居民满意度</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过程管理指标</w:t>
            </w:r>
          </w:p>
          <w:p>
            <w:pPr>
              <w:snapToGrid w:val="0"/>
              <w:ind w:firstLine="320"/>
              <w:contextualSpacing/>
              <w:jc w:val="center"/>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计划管理指标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投资计划分解（转发）用时达标率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“两个责任”按项目落实到位率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spacing w:val="-16"/>
                <w:kern w:val="0"/>
                <w:sz w:val="21"/>
                <w:szCs w:val="21"/>
                <w:lang w:val="en-US" w:eastAsia="zh-CN"/>
              </w:rPr>
            </w:pPr>
            <w:r>
              <w:rPr>
                <w:rFonts w:hint="eastAsia"/>
                <w:color w:val="000000"/>
                <w:spacing w:val="-16"/>
                <w:kern w:val="0"/>
                <w:sz w:val="21"/>
                <w:szCs w:val="21"/>
                <w:lang w:val="en-US" w:eastAsia="zh-CN"/>
              </w:rPr>
              <w:t>资金管理指标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中央预算内投资支付率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年度计划投资完成率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项目管理指标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项目开工率</w:t>
            </w:r>
          </w:p>
        </w:tc>
        <w:tc>
          <w:tcPr>
            <w:tcW w:w="2291" w:type="dxa"/>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959"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超规模、超标准、超概算项目比例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959"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监督检查指标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审计、督查、巡视等指出问题项目比例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w:t>
            </w:r>
          </w:p>
        </w:tc>
      </w:tr>
    </w:tbl>
    <w:p>
      <w:pPr>
        <w:snapToGrid w:val="0"/>
        <w:spacing w:line="240" w:lineRule="auto"/>
        <w:ind w:left="0" w:leftChars="0" w:firstLine="0" w:firstLineChars="0"/>
        <w:contextualSpacing/>
        <w:textAlignment w:val="auto"/>
        <w:rPr>
          <w:rFonts w:hint="eastAsia"/>
          <w:color w:val="000000"/>
          <w:kern w:val="0"/>
          <w:sz w:val="16"/>
          <w:szCs w:val="16"/>
        </w:rPr>
      </w:pPr>
    </w:p>
    <w:p>
      <w:pPr>
        <w:rPr>
          <w:rFonts w:hint="eastAsia" w:eastAsia="方正仿宋_GBK"/>
          <w:lang w:val="en-US" w:eastAsia="zh-CN"/>
        </w:rPr>
      </w:pPr>
      <w:r>
        <w:rPr>
          <w:rFonts w:hint="eastAsia" w:eastAsia="方正仿宋_GBK"/>
          <w:lang w:val="en-US" w:eastAsia="zh-CN"/>
        </w:rPr>
        <w:br w:type="page"/>
      </w:r>
    </w:p>
    <w:p>
      <w:pPr>
        <w:snapToGrid w:val="0"/>
        <w:ind w:firstLine="0" w:firstLineChars="0"/>
        <w:rPr>
          <w:rFonts w:hint="default" w:eastAsia="方正黑体_GBK"/>
          <w:sz w:val="32"/>
          <w:szCs w:val="32"/>
          <w:lang w:val="en-US"/>
        </w:rPr>
      </w:pPr>
    </w:p>
    <w:p>
      <w:pPr>
        <w:snapToGrid w:val="0"/>
        <w:ind w:firstLine="0" w:firstLineChars="0"/>
        <w:jc w:val="center"/>
        <w:rPr>
          <w:rFonts w:hint="eastAsia" w:ascii="方正小标宋_GBK" w:eastAsia="方正小标宋_GBK"/>
          <w:sz w:val="40"/>
          <w:szCs w:val="40"/>
        </w:rPr>
      </w:pPr>
      <w:r>
        <w:rPr>
          <w:rFonts w:hint="eastAsia" w:ascii="方正小标宋_GBK" w:eastAsia="方正小标宋_GBK"/>
          <w:sz w:val="40"/>
          <w:szCs w:val="40"/>
        </w:rPr>
        <w:t>20</w:t>
      </w:r>
      <w:r>
        <w:rPr>
          <w:rFonts w:hint="eastAsia" w:ascii="方正小标宋_GBK" w:eastAsia="方正小标宋_GBK"/>
          <w:sz w:val="40"/>
          <w:szCs w:val="40"/>
          <w:lang w:val="en-US" w:eastAsia="zh-CN"/>
        </w:rPr>
        <w:t>22</w:t>
      </w:r>
      <w:r>
        <w:rPr>
          <w:rFonts w:hint="eastAsia" w:ascii="方正小标宋_GBK" w:eastAsia="方正小标宋_GBK"/>
          <w:sz w:val="40"/>
          <w:szCs w:val="40"/>
        </w:rPr>
        <w:t>年</w:t>
      </w:r>
      <w:r>
        <w:rPr>
          <w:rFonts w:hint="eastAsia" w:ascii="方正小标宋_GBK" w:eastAsia="方正小标宋_GBK"/>
          <w:sz w:val="40"/>
          <w:szCs w:val="40"/>
          <w:lang w:eastAsia="zh-CN"/>
        </w:rPr>
        <w:t>城市燃气管道等老化更新改造中央基建投资预算</w:t>
      </w:r>
      <w:r>
        <w:rPr>
          <w:rFonts w:hint="eastAsia" w:ascii="方正小标宋_GBK" w:eastAsia="方正小标宋_GBK"/>
          <w:sz w:val="40"/>
          <w:szCs w:val="40"/>
        </w:rPr>
        <w:t>绩效目标表</w:t>
      </w:r>
    </w:p>
    <w:p>
      <w:pPr>
        <w:snapToGrid w:val="0"/>
        <w:ind w:firstLine="0" w:firstLineChars="0"/>
        <w:jc w:val="center"/>
        <w:rPr>
          <w:rFonts w:hint="eastAsia" w:ascii="方正小标宋_GBK" w:eastAsia="方正小标宋_GBK"/>
          <w:sz w:val="36"/>
          <w:szCs w:val="36"/>
          <w:lang w:eastAsia="zh-CN"/>
        </w:rPr>
      </w:pPr>
      <w:r>
        <w:rPr>
          <w:rFonts w:hint="eastAsia" w:ascii="方正小标宋_GBK" w:eastAsia="方正小标宋_GBK"/>
          <w:sz w:val="36"/>
          <w:szCs w:val="36"/>
          <w:lang w:eastAsia="zh-CN"/>
        </w:rPr>
        <w:t>（</w:t>
      </w:r>
      <w:r>
        <w:rPr>
          <w:rFonts w:hint="eastAsia" w:ascii="方正小标宋_GBK" w:eastAsia="方正小标宋_GBK"/>
          <w:b w:val="0"/>
          <w:bCs w:val="0"/>
          <w:sz w:val="32"/>
          <w:szCs w:val="32"/>
          <w:lang w:val="en-US" w:eastAsia="zh-CN"/>
        </w:rPr>
        <w:t>2022年度</w:t>
      </w:r>
      <w:r>
        <w:rPr>
          <w:rFonts w:hint="eastAsia" w:ascii="方正小标宋_GBK" w:eastAsia="方正小标宋_GBK"/>
          <w:sz w:val="36"/>
          <w:szCs w:val="36"/>
          <w:lang w:eastAsia="zh-CN"/>
        </w:rPr>
        <w:t>）</w:t>
      </w:r>
    </w:p>
    <w:tbl>
      <w:tblPr>
        <w:tblStyle w:val="4"/>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1726"/>
        <w:gridCol w:w="629"/>
        <w:gridCol w:w="625"/>
        <w:gridCol w:w="2660"/>
        <w:gridCol w:w="2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lang w:eastAsia="zh-CN"/>
              </w:rPr>
              <w:t>项目</w:t>
            </w:r>
            <w:r>
              <w:rPr>
                <w:color w:val="000000"/>
                <w:kern w:val="0"/>
                <w:sz w:val="21"/>
                <w:szCs w:val="21"/>
              </w:rPr>
              <w:t>名称</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茂名市城区老旧小区燃气管道老化更新改造工程项目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下达地方或单位</w:t>
            </w:r>
          </w:p>
        </w:tc>
        <w:tc>
          <w:tcPr>
            <w:tcW w:w="5576" w:type="dxa"/>
            <w:gridSpan w:val="3"/>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rPr>
              <w:t>茂名</w:t>
            </w:r>
            <w:r>
              <w:rPr>
                <w:rFonts w:hint="eastAsia"/>
                <w:color w:val="000000"/>
                <w:kern w:val="0"/>
                <w:sz w:val="21"/>
                <w:szCs w:val="21"/>
                <w:lang w:val="en-US" w:eastAsia="zh-CN"/>
              </w:rPr>
              <w:t>市发展改革局、住房城乡建设局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1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本次下达中央预算内投资（万元）</w:t>
            </w:r>
          </w:p>
        </w:tc>
        <w:tc>
          <w:tcPr>
            <w:tcW w:w="557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707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2" w:hRule="atLeast"/>
        </w:trPr>
        <w:tc>
          <w:tcPr>
            <w:tcW w:w="959" w:type="dxa"/>
            <w:tcBorders>
              <w:top w:val="nil"/>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总</w:t>
            </w:r>
            <w:r>
              <w:rPr>
                <w:color w:val="000000"/>
                <w:kern w:val="0"/>
                <w:sz w:val="21"/>
                <w:szCs w:val="21"/>
              </w:rPr>
              <w:br w:type="textWrapping"/>
            </w:r>
            <w:r>
              <w:rPr>
                <w:color w:val="000000"/>
                <w:kern w:val="0"/>
                <w:sz w:val="21"/>
                <w:szCs w:val="21"/>
              </w:rPr>
              <w:t>体</w:t>
            </w:r>
            <w:r>
              <w:rPr>
                <w:color w:val="000000"/>
                <w:kern w:val="0"/>
                <w:sz w:val="21"/>
                <w:szCs w:val="21"/>
              </w:rPr>
              <w:br w:type="textWrapping"/>
            </w:r>
            <w:r>
              <w:rPr>
                <w:color w:val="000000"/>
                <w:kern w:val="0"/>
                <w:sz w:val="21"/>
                <w:szCs w:val="21"/>
              </w:rPr>
              <w:t>目</w:t>
            </w:r>
            <w:r>
              <w:rPr>
                <w:color w:val="000000"/>
                <w:kern w:val="0"/>
                <w:sz w:val="21"/>
                <w:szCs w:val="21"/>
              </w:rPr>
              <w:br w:type="textWrapping"/>
            </w:r>
            <w:r>
              <w:rPr>
                <w:color w:val="000000"/>
                <w:kern w:val="0"/>
                <w:sz w:val="21"/>
                <w:szCs w:val="21"/>
              </w:rPr>
              <w:t>标</w:t>
            </w:r>
          </w:p>
        </w:tc>
        <w:tc>
          <w:tcPr>
            <w:tcW w:w="7931" w:type="dxa"/>
            <w:gridSpan w:val="5"/>
            <w:tcBorders>
              <w:top w:val="single" w:color="auto" w:sz="4" w:space="0"/>
              <w:left w:val="nil"/>
              <w:bottom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val="en-US" w:eastAsia="zh-CN"/>
              </w:rPr>
              <w:t xml:space="preserve">     </w:t>
            </w:r>
            <w:r>
              <w:rPr>
                <w:rFonts w:hint="eastAsia"/>
                <w:color w:val="000000"/>
                <w:kern w:val="0"/>
                <w:sz w:val="21"/>
                <w:szCs w:val="21"/>
                <w:lang w:eastAsia="zh-CN"/>
              </w:rPr>
              <w:t>按照《城市燃气管道等老化更新改造和保障性安居工程中央预算内投资专项管理暂行办法》有关</w:t>
            </w:r>
            <w:r>
              <w:rPr>
                <w:rFonts w:hint="eastAsia"/>
                <w:color w:val="000000"/>
                <w:kern w:val="0"/>
                <w:sz w:val="21"/>
                <w:szCs w:val="21"/>
                <w:lang w:val="en-US" w:eastAsia="zh-CN"/>
              </w:rPr>
              <w:t>规定，将</w:t>
            </w:r>
            <w:r>
              <w:rPr>
                <w:rFonts w:hint="eastAsia"/>
                <w:color w:val="000000"/>
                <w:kern w:val="0"/>
                <w:sz w:val="21"/>
                <w:szCs w:val="21"/>
                <w:lang w:eastAsia="zh-CN"/>
              </w:rPr>
              <w:t>城市燃气管道等老化更新改造专项中央预算内投资计划尽快分解下达</w:t>
            </w:r>
            <w:r>
              <w:rPr>
                <w:rFonts w:hint="eastAsia"/>
                <w:color w:val="000000"/>
                <w:kern w:val="0"/>
                <w:sz w:val="21"/>
                <w:szCs w:val="21"/>
                <w:lang w:val="en-US" w:eastAsia="zh-CN"/>
              </w:rPr>
              <w:t>,用于更新改造材质落后、使用年限较长、运行环境存在安全隐患,不符合相关标准规范规定的城市燃气、供水、排水、供热等老化管道和设施。</w:t>
            </w:r>
            <w:r>
              <w:rPr>
                <w:color w:val="000000"/>
                <w:kern w:val="0"/>
                <w:sz w:val="21"/>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959" w:type="dxa"/>
            <w:vMerge w:val="restart"/>
            <w:tcBorders>
              <w:top w:val="nil"/>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绩</w:t>
            </w:r>
            <w:r>
              <w:rPr>
                <w:color w:val="000000"/>
                <w:kern w:val="0"/>
                <w:sz w:val="21"/>
                <w:szCs w:val="21"/>
              </w:rPr>
              <w:br w:type="textWrapping"/>
            </w:r>
            <w:r>
              <w:rPr>
                <w:color w:val="000000"/>
                <w:kern w:val="0"/>
                <w:sz w:val="21"/>
                <w:szCs w:val="21"/>
              </w:rPr>
              <w:t>效</w:t>
            </w:r>
            <w:r>
              <w:rPr>
                <w:color w:val="000000"/>
                <w:kern w:val="0"/>
                <w:sz w:val="21"/>
                <w:szCs w:val="21"/>
              </w:rPr>
              <w:br w:type="textWrapping"/>
            </w:r>
            <w:r>
              <w:rPr>
                <w:color w:val="000000"/>
                <w:kern w:val="0"/>
                <w:sz w:val="21"/>
                <w:szCs w:val="21"/>
              </w:rPr>
              <w:t>指</w:t>
            </w:r>
            <w:r>
              <w:rPr>
                <w:color w:val="000000"/>
                <w:kern w:val="0"/>
                <w:sz w:val="21"/>
                <w:szCs w:val="21"/>
              </w:rPr>
              <w:br w:type="textWrapping"/>
            </w:r>
            <w:r>
              <w:rPr>
                <w:color w:val="000000"/>
                <w:kern w:val="0"/>
                <w:sz w:val="21"/>
                <w:szCs w:val="21"/>
              </w:rPr>
              <w:t>标</w:t>
            </w:r>
          </w:p>
        </w:tc>
        <w:tc>
          <w:tcPr>
            <w:tcW w:w="1726"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一级指标</w:t>
            </w:r>
          </w:p>
        </w:tc>
        <w:tc>
          <w:tcPr>
            <w:tcW w:w="1254" w:type="dxa"/>
            <w:gridSpan w:val="2"/>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二级指标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三级指标</w:t>
            </w:r>
          </w:p>
        </w:tc>
        <w:tc>
          <w:tcPr>
            <w:tcW w:w="2291" w:type="dxa"/>
            <w:tcBorders>
              <w:top w:val="nil"/>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color w:val="000000"/>
                <w:kern w:val="0"/>
                <w:sz w:val="21"/>
                <w:szCs w:val="21"/>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left w:val="single" w:color="auto" w:sz="4" w:space="0"/>
              <w:right w:val="single" w:color="auto" w:sz="4" w:space="0"/>
            </w:tcBorders>
            <w:vAlign w:val="center"/>
          </w:tcPr>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color w:val="000000"/>
                <w:kern w:val="0"/>
                <w:sz w:val="21"/>
                <w:szCs w:val="21"/>
                <w:lang w:eastAsia="zh-CN"/>
              </w:rPr>
            </w:pPr>
          </w:p>
          <w:p>
            <w:pPr>
              <w:widowControl/>
              <w:snapToGrid w:val="0"/>
              <w:spacing w:line="240" w:lineRule="auto"/>
              <w:ind w:left="0" w:leftChars="0" w:firstLine="0" w:firstLineChars="0"/>
              <w:contextualSpacing/>
              <w:jc w:val="left"/>
              <w:textAlignment w:val="auto"/>
              <w:rPr>
                <w:rFonts w:hint="eastAsia" w:eastAsia="方正仿宋_GBK"/>
                <w:color w:val="000000"/>
                <w:kern w:val="0"/>
                <w:sz w:val="21"/>
                <w:szCs w:val="21"/>
                <w:lang w:eastAsia="zh-CN"/>
              </w:rPr>
            </w:pPr>
            <w:r>
              <w:rPr>
                <w:rFonts w:hint="eastAsia"/>
                <w:color w:val="000000"/>
                <w:kern w:val="0"/>
                <w:sz w:val="21"/>
                <w:szCs w:val="21"/>
                <w:lang w:eastAsia="zh-CN"/>
              </w:rPr>
              <w:t>实施效果指标</w:t>
            </w:r>
          </w:p>
        </w:tc>
        <w:tc>
          <w:tcPr>
            <w:tcW w:w="1254" w:type="dxa"/>
            <w:gridSpan w:val="2"/>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产出指标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下达中央预算内投资</w:t>
            </w:r>
          </w:p>
        </w:tc>
        <w:tc>
          <w:tcPr>
            <w:tcW w:w="2291" w:type="dxa"/>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707万元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效益指标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提高群众获得感、幸福感</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254" w:type="dxa"/>
            <w:gridSpan w:val="2"/>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eastAsia="zh-CN"/>
              </w:rPr>
            </w:pPr>
            <w:r>
              <w:rPr>
                <w:rFonts w:hint="eastAsia"/>
                <w:color w:val="000000"/>
                <w:kern w:val="0"/>
                <w:sz w:val="21"/>
                <w:szCs w:val="21"/>
                <w:lang w:eastAsia="zh-CN"/>
              </w:rPr>
              <w:t>满意度指标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eastAsia="zh-CN"/>
              </w:rPr>
              <w:t>居民满意度</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r>
              <w:rPr>
                <w:rFonts w:hint="eastAsia"/>
                <w:color w:val="000000"/>
                <w:kern w:val="0"/>
                <w:sz w:val="21"/>
                <w:szCs w:val="21"/>
              </w:rPr>
              <w:t>过程管理指标</w:t>
            </w:r>
          </w:p>
          <w:p>
            <w:pPr>
              <w:snapToGrid w:val="0"/>
              <w:ind w:firstLine="320"/>
              <w:contextualSpacing/>
              <w:jc w:val="center"/>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计划管理指标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eastAsia="zh-CN"/>
              </w:rPr>
              <w:t>投资计划分解（转发）用时达标率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“两个责任”按项目落实到位率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top w:val="single" w:color="auto" w:sz="4" w:space="0"/>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spacing w:val="-16"/>
                <w:kern w:val="0"/>
                <w:sz w:val="21"/>
                <w:szCs w:val="21"/>
                <w:lang w:val="en-US" w:eastAsia="zh-CN"/>
              </w:rPr>
            </w:pPr>
            <w:r>
              <w:rPr>
                <w:rFonts w:hint="eastAsia"/>
                <w:color w:val="000000"/>
                <w:spacing w:val="-16"/>
                <w:kern w:val="0"/>
                <w:sz w:val="21"/>
                <w:szCs w:val="21"/>
                <w:lang w:val="en-US" w:eastAsia="zh-CN"/>
              </w:rPr>
              <w:t>资金管理指标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中央预算内投资支付率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年度计划投资完成率</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959" w:type="dxa"/>
            <w:vMerge w:val="continue"/>
            <w:tcBorders>
              <w:left w:val="single" w:color="auto" w:sz="4" w:space="0"/>
              <w:right w:val="single" w:color="auto" w:sz="4" w:space="0"/>
            </w:tcBorders>
            <w:vAlign w:val="center"/>
          </w:tcPr>
          <w:p>
            <w:pPr>
              <w:snapToGrid w:val="0"/>
              <w:ind w:firstLine="320"/>
              <w:contextualSpacing/>
              <w:jc w:val="left"/>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restart"/>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项目管理指标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项目开工率</w:t>
            </w:r>
          </w:p>
        </w:tc>
        <w:tc>
          <w:tcPr>
            <w:tcW w:w="2291" w:type="dxa"/>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959"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超规模、超标准、超概算项目比例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959"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color w:val="000000"/>
                <w:kern w:val="0"/>
                <w:sz w:val="21"/>
                <w:szCs w:val="21"/>
              </w:rPr>
            </w:pPr>
          </w:p>
        </w:tc>
        <w:tc>
          <w:tcPr>
            <w:tcW w:w="1726" w:type="dxa"/>
            <w:vMerge w:val="continue"/>
            <w:tcBorders>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color w:val="000000"/>
                <w:kern w:val="0"/>
                <w:sz w:val="21"/>
                <w:szCs w:val="21"/>
              </w:rPr>
            </w:pPr>
          </w:p>
        </w:tc>
        <w:tc>
          <w:tcPr>
            <w:tcW w:w="125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eastAsia="方正仿宋_GBK"/>
                <w:color w:val="000000"/>
                <w:kern w:val="0"/>
                <w:sz w:val="21"/>
                <w:szCs w:val="21"/>
                <w:lang w:eastAsia="zh-CN"/>
              </w:rPr>
            </w:pPr>
            <w:r>
              <w:rPr>
                <w:rFonts w:hint="eastAsia"/>
                <w:color w:val="000000"/>
                <w:kern w:val="0"/>
                <w:sz w:val="21"/>
                <w:szCs w:val="21"/>
                <w:lang w:eastAsia="zh-CN"/>
              </w:rPr>
              <w:t>监督检查指标</w:t>
            </w:r>
          </w:p>
        </w:tc>
        <w:tc>
          <w:tcPr>
            <w:tcW w:w="2660" w:type="dxa"/>
            <w:tcBorders>
              <w:top w:val="single" w:color="auto" w:sz="4" w:space="0"/>
              <w:left w:val="nil"/>
              <w:bottom w:val="single" w:color="auto" w:sz="4" w:space="0"/>
              <w:right w:val="single" w:color="auto" w:sz="4" w:space="0"/>
            </w:tcBorders>
            <w:vAlign w:val="center"/>
          </w:tcPr>
          <w:p>
            <w:pPr>
              <w:widowControl/>
              <w:snapToGrid w:val="0"/>
              <w:spacing w:line="240" w:lineRule="auto"/>
              <w:ind w:firstLine="0" w:firstLineChars="0"/>
              <w:contextualSpacing/>
              <w:jc w:val="left"/>
              <w:textAlignment w:val="auto"/>
              <w:rPr>
                <w:rFonts w:hint="eastAsia" w:eastAsia="方正仿宋_GBK"/>
                <w:color w:val="000000"/>
                <w:kern w:val="0"/>
                <w:sz w:val="21"/>
                <w:szCs w:val="21"/>
                <w:lang w:val="en-US" w:eastAsia="zh-CN"/>
              </w:rPr>
            </w:pPr>
            <w:r>
              <w:rPr>
                <w:rFonts w:hint="eastAsia"/>
                <w:color w:val="000000"/>
                <w:kern w:val="0"/>
                <w:sz w:val="21"/>
                <w:szCs w:val="21"/>
                <w:lang w:val="en-US" w:eastAsia="zh-CN"/>
              </w:rPr>
              <w:t>审计、督查、巡视等指出问题项目比例</w:t>
            </w:r>
          </w:p>
        </w:tc>
        <w:tc>
          <w:tcPr>
            <w:tcW w:w="2291" w:type="dxa"/>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uto"/>
              <w:ind w:firstLine="0" w:firstLineChars="0"/>
              <w:contextualSpacing/>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≤1%</w:t>
            </w:r>
          </w:p>
        </w:tc>
      </w:tr>
    </w:tbl>
    <w:p>
      <w:pPr>
        <w:snapToGrid w:val="0"/>
        <w:spacing w:line="240" w:lineRule="auto"/>
        <w:ind w:left="0" w:leftChars="0" w:firstLine="0" w:firstLineChars="0"/>
        <w:contextualSpacing/>
        <w:textAlignment w:val="auto"/>
        <w:rPr>
          <w:rFonts w:hint="eastAsia"/>
          <w:color w:val="000000"/>
          <w:kern w:val="0"/>
          <w:sz w:val="16"/>
          <w:szCs w:val="16"/>
        </w:rPr>
      </w:pPr>
    </w:p>
    <w:p>
      <w:pPr>
        <w:ind w:left="0" w:leftChars="0" w:firstLine="0" w:firstLineChars="0"/>
        <w:rPr>
          <w:rFonts w:hint="eastAsia" w:eastAsia="方正仿宋_GBK"/>
          <w:lang w:val="en-US" w:eastAsia="zh-CN"/>
        </w:rPr>
      </w:pPr>
    </w:p>
    <w:p>
      <w:pPr>
        <w:ind w:left="0" w:leftChars="0" w:firstLine="0" w:firstLineChars="0"/>
        <w:rPr>
          <w:rFonts w:hint="eastAsia" w:eastAsia="方正仿宋_GBK"/>
          <w:lang w:val="en-US" w:eastAsia="zh-CN"/>
        </w:rPr>
      </w:pPr>
    </w:p>
    <w:sectPr>
      <w:pgSz w:w="11906" w:h="16838"/>
      <w:pgMar w:top="1985" w:right="1616" w:bottom="1814" w:left="1616" w:header="851" w:footer="1474" w:gutter="0"/>
      <w:cols w:space="720" w:num="1"/>
      <w:docGrid w:type="lines" w:linePitch="58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jc w:val="right"/>
      <w:rPr>
        <w:rFonts w:hint="eastAsia" w:ascii="仿宋_GB2312" w:hAnsi="宋体" w:eastAsia="仿宋_GB2312"/>
        <w:caps/>
        <w:sz w:val="28"/>
        <w:szCs w:val="28"/>
        <w:lang w:val="en-US" w:eastAsia="zh-CN"/>
      </w:rPr>
    </w:pPr>
    <w:r>
      <w:rPr>
        <w:rFonts w:hint="eastAsia" w:ascii="仿宋_GB2312" w:hAnsi="宋体" w:eastAsia="仿宋_GB2312"/>
        <w:caps/>
        <w:sz w:val="28"/>
        <w:szCs w:val="28"/>
        <w:lang w:val="en-US" w:eastAsia="zh-CN"/>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jc w:val="right"/>
      <w:rPr>
        <w:rFonts w:hint="eastAsia" w:ascii="仿宋_GB2312" w:hAnsi="宋体" w:eastAsia="仿宋_GB2312"/>
        <w:caps/>
        <w:sz w:val="28"/>
        <w:szCs w:val="28"/>
        <w:lang w:val="en-US" w:eastAsia="zh-CN"/>
      </w:rPr>
    </w:pPr>
    <w:r>
      <w:rPr>
        <w:rFonts w:hint="eastAsia" w:ascii="仿宋_GB2312" w:hAnsi="宋体" w:eastAsia="仿宋_GB2312"/>
        <w:caps/>
        <w:sz w:val="28"/>
        <w:szCs w:val="28"/>
        <w:lang w:val="en-US" w:eastAsia="zh-CN"/>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rPr>
        <w:rFonts w:ascii="仿宋_GB2312" w:hAnsi="宋体" w:eastAsia="仿宋_GB2312"/>
        <w:caps/>
        <w:sz w:val="28"/>
        <w:szCs w:val="2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jc w:val="right"/>
      <w:rPr>
        <w:rFonts w:hint="eastAsia" w:ascii="仿宋_GB2312" w:hAnsi="宋体" w:eastAsia="仿宋_GB2312"/>
        <w:caps/>
        <w:sz w:val="28"/>
        <w:szCs w:val="28"/>
        <w:lang w:val="en-US" w:eastAsia="zh-CN"/>
      </w:rPr>
    </w:pPr>
    <w:r>
      <w:rPr>
        <w:rFonts w:hint="eastAsia" w:ascii="仿宋_GB2312" w:hAnsi="宋体" w:eastAsia="仿宋_GB2312"/>
        <w:caps/>
        <w:sz w:val="28"/>
        <w:szCs w:val="28"/>
        <w:lang w:val="en-US" w:eastAsia="zh-CN"/>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rPr>
        <w:rFonts w:ascii="仿宋_GB2312" w:hAnsi="宋体" w:eastAsia="仿宋_GB2312"/>
        <w:caps/>
        <w:sz w:val="28"/>
        <w:szCs w:val="2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rPr>
        <w:rFonts w:ascii="仿宋_GB2312" w:hAnsi="宋体" w:eastAsia="仿宋_GB2312"/>
        <w:caps/>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jc w:val="right"/>
      <w:rPr>
        <w:rFonts w:hint="eastAsia" w:ascii="仿宋_GB2312" w:hAnsi="宋体" w:eastAsia="仿宋_GB2312"/>
        <w:caps/>
        <w:sz w:val="28"/>
        <w:szCs w:val="28"/>
        <w:lang w:val="en-US" w:eastAsia="zh-CN"/>
      </w:rPr>
    </w:pPr>
    <w:r>
      <w:rPr>
        <w:rFonts w:hint="eastAsia" w:ascii="仿宋_GB2312" w:hAnsi="宋体" w:eastAsia="仿宋_GB2312"/>
        <w:caps/>
        <w:sz w:val="28"/>
        <w:szCs w:val="28"/>
        <w:lang w:val="en-US" w:eastAsia="zh-CN"/>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rPr>
        <w:rFonts w:ascii="仿宋_GB2312" w:hAnsi="宋体" w:eastAsia="仿宋_GB2312"/>
        <w:caps/>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jc w:val="right"/>
      <w:rPr>
        <w:rFonts w:hint="eastAsia" w:ascii="仿宋_GB2312" w:hAnsi="宋体" w:eastAsia="仿宋_GB2312"/>
        <w:caps/>
        <w:sz w:val="28"/>
        <w:szCs w:val="28"/>
        <w:lang w:val="en-US" w:eastAsia="zh-CN"/>
      </w:rPr>
    </w:pPr>
    <w:r>
      <w:rPr>
        <w:rFonts w:hint="eastAsia" w:ascii="仿宋_GB2312" w:hAnsi="宋体" w:eastAsia="仿宋_GB2312"/>
        <w:caps/>
        <w:sz w:val="28"/>
        <w:szCs w:val="28"/>
        <w:lang w:val="en-US" w:eastAsia="zh-CN"/>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41" w:firstLine="560"/>
      <w:rPr>
        <w:rFonts w:ascii="仿宋_GB2312" w:hAnsi="宋体" w:eastAsia="仿宋_GB2312"/>
        <w:caps/>
        <w:sz w:val="28"/>
        <w:szCs w:val="2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0" w:leftChars="0" w:firstLine="0" w:firstLineChars="0"/>
      <w:jc w:val="both"/>
      <w:rPr>
        <w:rFonts w:hint="eastAsia" w:eastAsia="方正仿宋_GBK"/>
        <w:lang w:eastAsia="zh-C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0" w:leftChars="0" w:firstLine="0" w:firstLineChars="0"/>
      <w:jc w:val="both"/>
      <w:rPr>
        <w:rFonts w:hint="eastAsia" w:eastAsia="方正仿宋_GBK"/>
        <w:lang w:eastAsia="zh-C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0" w:leftChars="0" w:firstLine="0" w:firstLineChars="0"/>
      <w:jc w:val="both"/>
      <w:rPr>
        <w:rFonts w:hint="eastAsia" w:eastAsia="方正仿宋_GBK"/>
        <w:lang w:eastAsia="zh-C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0" w:leftChars="0" w:firstLine="0" w:firstLineChars="0"/>
      <w:jc w:val="both"/>
      <w:rPr>
        <w:rFonts w:hint="eastAsia" w:eastAsia="方正仿宋_GBK"/>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0" w:leftChars="0" w:firstLine="0" w:firstLineChars="0"/>
      <w:jc w:val="both"/>
      <w:rPr>
        <w:rFonts w:hint="eastAsia" w:eastAsia="方正仿宋_GBK"/>
        <w:lang w:eastAsia="zh-C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1E8D1DB8"/>
    <w:rsid w:val="2DD25D34"/>
    <w:rsid w:val="4C564788"/>
    <w:rsid w:val="61723B6D"/>
    <w:rsid w:val="7F8FD111"/>
    <w:rsid w:val="BA7B23C6"/>
    <w:rsid w:val="FE7348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character" w:default="1" w:styleId="5">
    <w:name w:val="Default Paragraph Font"/>
    <w:semiHidden/>
    <w:qFormat/>
    <w:uiPriority w:val="0"/>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line="240" w:lineRule="atLeast"/>
      <w:jc w:val="left"/>
    </w:pPr>
    <w:rPr>
      <w:rFonts w:ascii="Calibri" w:hAnsi="Calibri"/>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spacing w:line="240" w:lineRule="atLeast"/>
      <w:jc w:val="center"/>
    </w:pPr>
    <w:rPr>
      <w:rFonts w:ascii="Calibri" w:hAnsi="Calibri"/>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theme" Target="theme/theme1.xml"/><Relationship Id="rId34" Type="http://schemas.openxmlformats.org/officeDocument/2006/relationships/footer" Target="footer15.xml"/><Relationship Id="rId33" Type="http://schemas.openxmlformats.org/officeDocument/2006/relationships/footer" Target="footer14.xml"/><Relationship Id="rId32" Type="http://schemas.openxmlformats.org/officeDocument/2006/relationships/footer" Target="footer13.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footer" Target="footer10.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2021-03-23T22:47:00Z</dcterms:created>
  <dc:creator>郑昊</dc:creator>
  <cp:lastModifiedBy>张特黎</cp:lastModifiedBy>
  <dcterms:modified xsi:type="dcterms:W3CDTF">2022-07-21T14:45:36Z</dcterms:modified>
  <dc:title>附件2-1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